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85EE" w14:textId="77777777" w:rsidR="00EE413F" w:rsidRDefault="00EE413F" w:rsidP="008E3A5C">
      <w:pPr>
        <w:spacing w:after="0" w:line="240" w:lineRule="auto"/>
      </w:pPr>
    </w:p>
    <w:p w14:paraId="161EB6E2" w14:textId="77777777" w:rsidR="008D46A9" w:rsidRDefault="008D46A9" w:rsidP="008E3A5C">
      <w:pPr>
        <w:spacing w:after="0" w:line="240" w:lineRule="auto"/>
      </w:pPr>
    </w:p>
    <w:tbl>
      <w:tblPr>
        <w:tblStyle w:val="TableGrid"/>
        <w:tblW w:w="15134"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2537"/>
        <w:gridCol w:w="1701"/>
        <w:gridCol w:w="1417"/>
        <w:gridCol w:w="9479"/>
      </w:tblGrid>
      <w:tr w:rsidR="008D46A9" w:rsidRPr="00B64921" w14:paraId="394AEFB9" w14:textId="77777777" w:rsidTr="00894BDA">
        <w:trPr>
          <w:trHeight w:val="454"/>
        </w:trPr>
        <w:tc>
          <w:tcPr>
            <w:tcW w:w="15134" w:type="dxa"/>
            <w:gridSpan w:val="4"/>
            <w:vAlign w:val="center"/>
          </w:tcPr>
          <w:p w14:paraId="335AB127" w14:textId="6A0A7597" w:rsidR="008D46A9" w:rsidRPr="00631811" w:rsidRDefault="008D46A9" w:rsidP="001353AE">
            <w:pPr>
              <w:spacing w:before="60" w:after="60"/>
              <w:rPr>
                <w:rFonts w:ascii="Arial" w:hAnsi="Arial" w:cs="Arial"/>
                <w:b/>
                <w:sz w:val="28"/>
                <w:szCs w:val="28"/>
              </w:rPr>
            </w:pPr>
            <w:r w:rsidRPr="00631811">
              <w:rPr>
                <w:rFonts w:ascii="Arial" w:hAnsi="Arial" w:cs="Arial"/>
                <w:b/>
                <w:sz w:val="28"/>
                <w:szCs w:val="28"/>
              </w:rPr>
              <w:t xml:space="preserve">REPORT TO </w:t>
            </w:r>
            <w:r w:rsidR="008E3A5C" w:rsidRPr="00631811">
              <w:rPr>
                <w:rFonts w:ascii="Arial" w:hAnsi="Arial" w:cs="Arial"/>
                <w:b/>
                <w:sz w:val="28"/>
                <w:szCs w:val="28"/>
              </w:rPr>
              <w:t xml:space="preserve">THE </w:t>
            </w:r>
            <w:r w:rsidR="00FA1272">
              <w:rPr>
                <w:rFonts w:ascii="Arial" w:hAnsi="Arial" w:cs="Arial"/>
                <w:b/>
                <w:sz w:val="28"/>
                <w:szCs w:val="28"/>
              </w:rPr>
              <w:t>TRUST BOARD</w:t>
            </w:r>
          </w:p>
        </w:tc>
      </w:tr>
      <w:tr w:rsidR="008D46A9" w:rsidRPr="00AF0E90" w14:paraId="5C3CAE0E" w14:textId="77777777" w:rsidTr="00EF5E34">
        <w:trPr>
          <w:trHeight w:val="203"/>
        </w:trPr>
        <w:tc>
          <w:tcPr>
            <w:tcW w:w="2537" w:type="dxa"/>
          </w:tcPr>
          <w:p w14:paraId="0ADB5BC9" w14:textId="77777777" w:rsidR="008D46A9" w:rsidRPr="00631811" w:rsidRDefault="008D46A9">
            <w:pPr>
              <w:rPr>
                <w:rFonts w:ascii="Arial" w:hAnsi="Arial" w:cs="Arial"/>
                <w:b/>
              </w:rPr>
            </w:pPr>
            <w:r w:rsidRPr="00631811">
              <w:rPr>
                <w:rFonts w:ascii="Arial" w:hAnsi="Arial" w:cs="Arial"/>
                <w:b/>
              </w:rPr>
              <w:t>Date</w:t>
            </w:r>
          </w:p>
        </w:tc>
        <w:tc>
          <w:tcPr>
            <w:tcW w:w="12597" w:type="dxa"/>
            <w:gridSpan w:val="3"/>
          </w:tcPr>
          <w:p w14:paraId="1C5CDDC0" w14:textId="7463D06B" w:rsidR="008D46A9" w:rsidRDefault="00FA1272">
            <w:pPr>
              <w:rPr>
                <w:rFonts w:ascii="Arial" w:hAnsi="Arial" w:cs="Arial"/>
                <w:b/>
              </w:rPr>
            </w:pPr>
            <w:r>
              <w:rPr>
                <w:rFonts w:ascii="Arial" w:hAnsi="Arial" w:cs="Arial"/>
                <w:b/>
              </w:rPr>
              <w:t>Wednesday 2</w:t>
            </w:r>
            <w:r w:rsidRPr="00FA1272">
              <w:rPr>
                <w:rFonts w:ascii="Arial" w:hAnsi="Arial" w:cs="Arial"/>
                <w:b/>
                <w:vertAlign w:val="superscript"/>
              </w:rPr>
              <w:t>nd</w:t>
            </w:r>
            <w:r>
              <w:rPr>
                <w:rFonts w:ascii="Arial" w:hAnsi="Arial" w:cs="Arial"/>
                <w:b/>
              </w:rPr>
              <w:t xml:space="preserve"> October 2024</w:t>
            </w:r>
          </w:p>
          <w:p w14:paraId="31B3DD47" w14:textId="77777777" w:rsidR="00B7650F" w:rsidRPr="00631811" w:rsidRDefault="00B7650F">
            <w:pPr>
              <w:rPr>
                <w:rFonts w:ascii="Arial" w:hAnsi="Arial" w:cs="Arial"/>
                <w:b/>
              </w:rPr>
            </w:pPr>
          </w:p>
        </w:tc>
      </w:tr>
      <w:tr w:rsidR="008D46A9" w:rsidRPr="00AF0E90" w14:paraId="344AEA42" w14:textId="77777777" w:rsidTr="00EF5E34">
        <w:trPr>
          <w:trHeight w:val="367"/>
        </w:trPr>
        <w:tc>
          <w:tcPr>
            <w:tcW w:w="2537" w:type="dxa"/>
          </w:tcPr>
          <w:p w14:paraId="1EEE30F2" w14:textId="77777777" w:rsidR="008D46A9" w:rsidRPr="00631811" w:rsidRDefault="008D46A9" w:rsidP="00A01C5C">
            <w:pPr>
              <w:rPr>
                <w:rFonts w:ascii="Arial" w:hAnsi="Arial" w:cs="Arial"/>
                <w:b/>
              </w:rPr>
            </w:pPr>
            <w:r w:rsidRPr="00631811">
              <w:rPr>
                <w:rFonts w:ascii="Arial" w:hAnsi="Arial" w:cs="Arial"/>
                <w:b/>
              </w:rPr>
              <w:t>Title</w:t>
            </w:r>
          </w:p>
        </w:tc>
        <w:tc>
          <w:tcPr>
            <w:tcW w:w="12597" w:type="dxa"/>
            <w:gridSpan w:val="3"/>
          </w:tcPr>
          <w:p w14:paraId="32D86FEF" w14:textId="77777777" w:rsidR="008D46A9" w:rsidRPr="00631811" w:rsidRDefault="001E6AE6" w:rsidP="00A01C5C">
            <w:pPr>
              <w:rPr>
                <w:rFonts w:ascii="Arial" w:hAnsi="Arial" w:cs="Arial"/>
                <w:b/>
              </w:rPr>
            </w:pPr>
            <w:r>
              <w:rPr>
                <w:rFonts w:ascii="Arial" w:hAnsi="Arial" w:cs="Arial"/>
                <w:b/>
              </w:rPr>
              <w:t>Workforce Race Equality Standard (WRES) Reporting 202</w:t>
            </w:r>
            <w:r w:rsidR="00016488">
              <w:rPr>
                <w:rFonts w:ascii="Arial" w:hAnsi="Arial" w:cs="Arial"/>
                <w:b/>
              </w:rPr>
              <w:t>4</w:t>
            </w:r>
          </w:p>
        </w:tc>
      </w:tr>
      <w:tr w:rsidR="008D46A9" w:rsidRPr="00AF0E90" w14:paraId="4322E7EB" w14:textId="77777777" w:rsidTr="00EF5E34">
        <w:trPr>
          <w:trHeight w:val="387"/>
        </w:trPr>
        <w:tc>
          <w:tcPr>
            <w:tcW w:w="2537" w:type="dxa"/>
          </w:tcPr>
          <w:p w14:paraId="3909B5ED" w14:textId="77777777" w:rsidR="008D46A9" w:rsidRPr="00631811" w:rsidRDefault="00A01970" w:rsidP="00DE6F0A">
            <w:pPr>
              <w:rPr>
                <w:rFonts w:ascii="Arial" w:hAnsi="Arial" w:cs="Arial"/>
                <w:b/>
              </w:rPr>
            </w:pPr>
            <w:r w:rsidRPr="00631811">
              <w:rPr>
                <w:rFonts w:ascii="Arial" w:hAnsi="Arial" w:cs="Arial"/>
                <w:b/>
              </w:rPr>
              <w:t xml:space="preserve">Author &amp; </w:t>
            </w:r>
            <w:r w:rsidR="00DE6F0A" w:rsidRPr="00631811">
              <w:rPr>
                <w:rFonts w:ascii="Arial" w:hAnsi="Arial" w:cs="Arial"/>
                <w:b/>
              </w:rPr>
              <w:t>Exec lead</w:t>
            </w:r>
          </w:p>
        </w:tc>
        <w:tc>
          <w:tcPr>
            <w:tcW w:w="12597" w:type="dxa"/>
            <w:gridSpan w:val="3"/>
          </w:tcPr>
          <w:p w14:paraId="449517AB" w14:textId="77777777" w:rsidR="008D46A9" w:rsidRDefault="00DF60BA" w:rsidP="00A01C5C">
            <w:pPr>
              <w:rPr>
                <w:rFonts w:ascii="Arial" w:hAnsi="Arial" w:cs="Arial"/>
                <w:b/>
              </w:rPr>
            </w:pPr>
            <w:r>
              <w:rPr>
                <w:rFonts w:ascii="Arial" w:hAnsi="Arial" w:cs="Arial"/>
                <w:b/>
              </w:rPr>
              <w:t xml:space="preserve">Julia Buck, Head of </w:t>
            </w:r>
            <w:r w:rsidR="0025195D">
              <w:rPr>
                <w:rFonts w:ascii="Arial" w:hAnsi="Arial" w:cs="Arial"/>
                <w:b/>
              </w:rPr>
              <w:t>HR Operations and Lois A</w:t>
            </w:r>
            <w:r w:rsidR="0021028E">
              <w:rPr>
                <w:rFonts w:ascii="Arial" w:hAnsi="Arial" w:cs="Arial"/>
                <w:b/>
              </w:rPr>
              <w:t>r</w:t>
            </w:r>
            <w:r w:rsidR="0025195D">
              <w:rPr>
                <w:rFonts w:ascii="Arial" w:hAnsi="Arial" w:cs="Arial"/>
                <w:b/>
              </w:rPr>
              <w:t>cari, EDI Advisor for</w:t>
            </w:r>
          </w:p>
          <w:p w14:paraId="26B9DB68" w14:textId="77777777" w:rsidR="001C4D19" w:rsidRPr="00631811" w:rsidRDefault="001C4D19" w:rsidP="00A01C5C">
            <w:pPr>
              <w:rPr>
                <w:rFonts w:ascii="Arial" w:hAnsi="Arial" w:cs="Arial"/>
                <w:b/>
              </w:rPr>
            </w:pPr>
            <w:r>
              <w:rPr>
                <w:rFonts w:ascii="Arial" w:hAnsi="Arial" w:cs="Arial"/>
                <w:b/>
              </w:rPr>
              <w:t>Paul Jones, Chief People Officer</w:t>
            </w:r>
          </w:p>
        </w:tc>
      </w:tr>
      <w:tr w:rsidR="00D864F4" w:rsidRPr="00AF0E90" w14:paraId="66827F44" w14:textId="77777777" w:rsidTr="00EF5E34">
        <w:trPr>
          <w:trHeight w:val="407"/>
        </w:trPr>
        <w:tc>
          <w:tcPr>
            <w:tcW w:w="2537" w:type="dxa"/>
          </w:tcPr>
          <w:p w14:paraId="2D27F29F" w14:textId="77777777" w:rsidR="00D864F4" w:rsidRPr="00631811" w:rsidRDefault="00D864F4" w:rsidP="00D92939">
            <w:pPr>
              <w:rPr>
                <w:rFonts w:ascii="Arial" w:hAnsi="Arial" w:cs="Arial"/>
                <w:b/>
              </w:rPr>
            </w:pPr>
            <w:r w:rsidRPr="00631811">
              <w:rPr>
                <w:rFonts w:ascii="Arial" w:hAnsi="Arial" w:cs="Arial"/>
                <w:b/>
              </w:rPr>
              <w:t>Purpose</w:t>
            </w:r>
          </w:p>
        </w:tc>
        <w:tc>
          <w:tcPr>
            <w:tcW w:w="12597" w:type="dxa"/>
            <w:gridSpan w:val="3"/>
          </w:tcPr>
          <w:p w14:paraId="709385D7" w14:textId="77777777" w:rsidR="00D864F4" w:rsidRPr="00631811" w:rsidRDefault="00D864F4" w:rsidP="00D92939">
            <w:pPr>
              <w:rPr>
                <w:rFonts w:ascii="Arial" w:hAnsi="Arial" w:cs="Arial"/>
                <w:b/>
              </w:rPr>
            </w:pPr>
            <w:r w:rsidRPr="00631811">
              <w:rPr>
                <w:rFonts w:ascii="Arial" w:hAnsi="Arial" w:cs="Arial"/>
                <w:b/>
              </w:rPr>
              <w:t xml:space="preserve">For </w:t>
            </w:r>
            <w:r w:rsidR="00B7650F">
              <w:rPr>
                <w:rFonts w:ascii="Arial" w:hAnsi="Arial" w:cs="Arial"/>
                <w:b/>
              </w:rPr>
              <w:t xml:space="preserve">Approval and </w:t>
            </w:r>
            <w:r w:rsidRPr="00631811">
              <w:rPr>
                <w:rFonts w:ascii="Arial" w:hAnsi="Arial" w:cs="Arial"/>
                <w:b/>
              </w:rPr>
              <w:t>Information</w:t>
            </w:r>
          </w:p>
        </w:tc>
      </w:tr>
      <w:tr w:rsidR="00BE33D6" w:rsidRPr="00AF0E90" w14:paraId="1AA0C607" w14:textId="77777777" w:rsidTr="00EF5E34">
        <w:trPr>
          <w:trHeight w:val="397"/>
        </w:trPr>
        <w:tc>
          <w:tcPr>
            <w:tcW w:w="2537" w:type="dxa"/>
          </w:tcPr>
          <w:p w14:paraId="37593EC7" w14:textId="77777777" w:rsidR="00BE33D6" w:rsidRPr="00631811" w:rsidRDefault="00AE4E9A" w:rsidP="00D92939">
            <w:pPr>
              <w:rPr>
                <w:rFonts w:ascii="Arial" w:hAnsi="Arial" w:cs="Arial"/>
                <w:b/>
                <w:sz w:val="20"/>
                <w:szCs w:val="20"/>
              </w:rPr>
            </w:pPr>
            <w:r w:rsidRPr="00631811">
              <w:rPr>
                <w:rFonts w:ascii="Arial" w:hAnsi="Arial" w:cs="Arial"/>
                <w:b/>
                <w:sz w:val="20"/>
                <w:szCs w:val="20"/>
              </w:rPr>
              <w:t>Relevant Strategic Objective</w:t>
            </w:r>
          </w:p>
        </w:tc>
        <w:tc>
          <w:tcPr>
            <w:tcW w:w="12597" w:type="dxa"/>
            <w:gridSpan w:val="3"/>
          </w:tcPr>
          <w:p w14:paraId="75CA216C" w14:textId="77777777" w:rsidR="00631811" w:rsidRPr="00631811" w:rsidRDefault="00631811" w:rsidP="00631811">
            <w:pPr>
              <w:pStyle w:val="ListParagraph"/>
              <w:numPr>
                <w:ilvl w:val="0"/>
                <w:numId w:val="15"/>
              </w:numPr>
              <w:rPr>
                <w:rFonts w:ascii="Arial" w:eastAsia="Times New Roman" w:hAnsi="Arial" w:cs="Arial"/>
                <w:sz w:val="20"/>
                <w:szCs w:val="20"/>
              </w:rPr>
            </w:pPr>
            <w:r w:rsidRPr="00631811">
              <w:rPr>
                <w:rFonts w:ascii="Arial" w:eastAsia="Times New Roman" w:hAnsi="Arial" w:cs="Arial"/>
                <w:sz w:val="20"/>
                <w:szCs w:val="20"/>
              </w:rPr>
              <w:t>Our NNUH Team: Together, we will support each other to be the best that we can be, to be valued and proud of our hospital for all.</w:t>
            </w:r>
          </w:p>
          <w:p w14:paraId="667110DC" w14:textId="77777777" w:rsidR="00BE33D6" w:rsidRPr="00631811" w:rsidRDefault="00BE33D6" w:rsidP="001C4D19">
            <w:pPr>
              <w:pStyle w:val="ListParagraph"/>
              <w:rPr>
                <w:rFonts w:ascii="Arial" w:hAnsi="Arial" w:cs="Arial"/>
                <w:b/>
              </w:rPr>
            </w:pPr>
          </w:p>
        </w:tc>
      </w:tr>
      <w:tr w:rsidR="00894BDA" w:rsidRPr="00AF0E90" w14:paraId="6A7B8F0B" w14:textId="77777777" w:rsidTr="00EF5E34">
        <w:trPr>
          <w:trHeight w:val="468"/>
        </w:trPr>
        <w:tc>
          <w:tcPr>
            <w:tcW w:w="2537" w:type="dxa"/>
            <w:vMerge w:val="restart"/>
          </w:tcPr>
          <w:p w14:paraId="24D9C8EC" w14:textId="77777777" w:rsidR="00830737" w:rsidRPr="00631811" w:rsidRDefault="00894BDA" w:rsidP="00D92939">
            <w:pPr>
              <w:rPr>
                <w:rFonts w:ascii="Arial" w:hAnsi="Arial" w:cs="Arial"/>
                <w:b/>
                <w:sz w:val="20"/>
                <w:szCs w:val="20"/>
              </w:rPr>
            </w:pPr>
            <w:r w:rsidRPr="00631811">
              <w:rPr>
                <w:rFonts w:ascii="Arial" w:hAnsi="Arial" w:cs="Arial"/>
                <w:b/>
                <w:sz w:val="20"/>
                <w:szCs w:val="20"/>
              </w:rPr>
              <w:t>Are there any qua</w:t>
            </w:r>
            <w:r w:rsidR="00241711" w:rsidRPr="00631811">
              <w:rPr>
                <w:rFonts w:ascii="Arial" w:hAnsi="Arial" w:cs="Arial"/>
                <w:b/>
                <w:sz w:val="20"/>
                <w:szCs w:val="20"/>
              </w:rPr>
              <w:t>lity, operational, workforce or</w:t>
            </w:r>
            <w:r w:rsidRPr="00631811">
              <w:rPr>
                <w:rFonts w:ascii="Arial" w:hAnsi="Arial" w:cs="Arial"/>
                <w:b/>
                <w:sz w:val="20"/>
                <w:szCs w:val="20"/>
              </w:rPr>
              <w:t xml:space="preserve"> financial implications of the decision requested by this report?  </w:t>
            </w:r>
          </w:p>
          <w:p w14:paraId="51FDB90F" w14:textId="77777777" w:rsidR="00894BDA" w:rsidRPr="00631811" w:rsidRDefault="00894BDA" w:rsidP="00D92939">
            <w:pPr>
              <w:rPr>
                <w:rFonts w:ascii="Arial" w:hAnsi="Arial" w:cs="Arial"/>
                <w:b/>
                <w:sz w:val="20"/>
                <w:szCs w:val="20"/>
              </w:rPr>
            </w:pPr>
            <w:r w:rsidRPr="00631811">
              <w:rPr>
                <w:rFonts w:ascii="Arial" w:hAnsi="Arial" w:cs="Arial"/>
                <w:sz w:val="20"/>
                <w:szCs w:val="20"/>
              </w:rPr>
              <w:t>If so explain where these are/will be addressed.</w:t>
            </w:r>
          </w:p>
        </w:tc>
        <w:tc>
          <w:tcPr>
            <w:tcW w:w="1701" w:type="dxa"/>
            <w:tcBorders>
              <w:bottom w:val="single" w:sz="4" w:space="0" w:color="auto"/>
              <w:right w:val="single" w:sz="4" w:space="0" w:color="auto"/>
            </w:tcBorders>
          </w:tcPr>
          <w:p w14:paraId="0DB15E8D" w14:textId="77777777" w:rsidR="00894BDA" w:rsidRPr="00EF5E34" w:rsidRDefault="00894BDA" w:rsidP="00BE33D6">
            <w:pPr>
              <w:rPr>
                <w:rFonts w:ascii="Arial" w:hAnsi="Arial" w:cs="Arial"/>
                <w:b/>
                <w:sz w:val="20"/>
                <w:szCs w:val="20"/>
              </w:rPr>
            </w:pPr>
            <w:r w:rsidRPr="00EF5E34">
              <w:rPr>
                <w:rFonts w:ascii="Arial" w:hAnsi="Arial" w:cs="Arial"/>
                <w:b/>
                <w:sz w:val="20"/>
                <w:szCs w:val="20"/>
              </w:rPr>
              <w:t>Quality</w:t>
            </w:r>
          </w:p>
        </w:tc>
        <w:tc>
          <w:tcPr>
            <w:tcW w:w="1417" w:type="dxa"/>
            <w:tcBorders>
              <w:left w:val="single" w:sz="4" w:space="0" w:color="auto"/>
              <w:bottom w:val="single" w:sz="4" w:space="0" w:color="auto"/>
              <w:right w:val="single" w:sz="4" w:space="0" w:color="auto"/>
            </w:tcBorders>
          </w:tcPr>
          <w:p w14:paraId="6885027D" w14:textId="77777777" w:rsidR="00894BDA" w:rsidRPr="00EF5E34" w:rsidRDefault="00894BDA" w:rsidP="00BE33D6">
            <w:pPr>
              <w:rPr>
                <w:rFonts w:ascii="Arial" w:hAnsi="Arial" w:cs="Arial"/>
                <w:b/>
                <w:sz w:val="20"/>
                <w:szCs w:val="20"/>
              </w:rPr>
            </w:pPr>
            <w:r w:rsidRPr="00EF5E34">
              <w:rPr>
                <w:rFonts w:ascii="Arial" w:hAnsi="Arial" w:cs="Arial"/>
                <w:b/>
                <w:sz w:val="20"/>
                <w:szCs w:val="20"/>
              </w:rPr>
              <w:t>Yes</w:t>
            </w:r>
            <w:sdt>
              <w:sdtPr>
                <w:rPr>
                  <w:rFonts w:ascii="Arial" w:hAnsi="Arial" w:cs="Arial"/>
                  <w:b/>
                  <w:sz w:val="20"/>
                  <w:szCs w:val="20"/>
                </w:rPr>
                <w:id w:val="-703630411"/>
                <w14:checkbox>
                  <w14:checked w14:val="0"/>
                  <w14:checkedState w14:val="00FC" w14:font="Wingdings"/>
                  <w14:uncheckedState w14:val="2610" w14:font="MS Gothic"/>
                </w14:checkbox>
              </w:sdtPr>
              <w:sdtEndPr/>
              <w:sdtContent>
                <w:r w:rsidR="00475B4E" w:rsidRPr="00EF5E34">
                  <w:rPr>
                    <w:rFonts w:ascii="Segoe UI Symbol" w:eastAsia="MS Gothic" w:hAnsi="Segoe UI Symbol" w:cs="Segoe UI Symbol"/>
                    <w:b/>
                    <w:sz w:val="20"/>
                    <w:szCs w:val="20"/>
                  </w:rPr>
                  <w:t>☐</w:t>
                </w:r>
              </w:sdtContent>
            </w:sdt>
            <w:r w:rsidRPr="00EF5E34">
              <w:rPr>
                <w:rFonts w:ascii="Arial" w:hAnsi="Arial" w:cs="Arial"/>
                <w:b/>
                <w:sz w:val="20"/>
                <w:szCs w:val="20"/>
              </w:rPr>
              <w:t xml:space="preserve"> No</w:t>
            </w:r>
            <w:sdt>
              <w:sdtPr>
                <w:rPr>
                  <w:rFonts w:ascii="Arial" w:hAnsi="Arial" w:cs="Arial"/>
                  <w:b/>
                  <w:sz w:val="20"/>
                  <w:szCs w:val="20"/>
                </w:rPr>
                <w:id w:val="1882898999"/>
                <w14:checkbox>
                  <w14:checked w14:val="1"/>
                  <w14:checkedState w14:val="00FC" w14:font="Wingdings"/>
                  <w14:uncheckedState w14:val="2610" w14:font="MS Gothic"/>
                </w14:checkbox>
              </w:sdtPr>
              <w:sdtEndPr/>
              <w:sdtContent>
                <w:r w:rsidR="001C4D19">
                  <w:rPr>
                    <w:rFonts w:ascii="Arial" w:hAnsi="Arial" w:cs="Arial"/>
                    <w:b/>
                    <w:sz w:val="20"/>
                    <w:szCs w:val="20"/>
                  </w:rPr>
                  <w:sym w:font="Wingdings" w:char="F0FC"/>
                </w:r>
              </w:sdtContent>
            </w:sdt>
          </w:p>
        </w:tc>
        <w:tc>
          <w:tcPr>
            <w:tcW w:w="9479" w:type="dxa"/>
            <w:tcBorders>
              <w:left w:val="single" w:sz="4" w:space="0" w:color="auto"/>
              <w:bottom w:val="single" w:sz="4" w:space="0" w:color="auto"/>
            </w:tcBorders>
          </w:tcPr>
          <w:p w14:paraId="51BD6940" w14:textId="77777777" w:rsidR="00894BDA" w:rsidRPr="00631811" w:rsidRDefault="00894BDA" w:rsidP="00BE33D6">
            <w:pPr>
              <w:rPr>
                <w:rFonts w:ascii="Arial" w:hAnsi="Arial" w:cs="Arial"/>
                <w:b/>
              </w:rPr>
            </w:pPr>
          </w:p>
        </w:tc>
      </w:tr>
      <w:tr w:rsidR="00894BDA" w:rsidRPr="00AF0E90" w14:paraId="79143B17" w14:textId="77777777" w:rsidTr="00EF5E34">
        <w:trPr>
          <w:trHeight w:val="440"/>
        </w:trPr>
        <w:tc>
          <w:tcPr>
            <w:tcW w:w="2537" w:type="dxa"/>
            <w:vMerge/>
          </w:tcPr>
          <w:p w14:paraId="212B8E30" w14:textId="77777777" w:rsidR="00894BDA" w:rsidRPr="00631811" w:rsidRDefault="00894BDA" w:rsidP="00D92939">
            <w:pPr>
              <w:rPr>
                <w:rFonts w:ascii="Arial" w:hAnsi="Arial" w:cs="Arial"/>
                <w:b/>
              </w:rPr>
            </w:pPr>
          </w:p>
        </w:tc>
        <w:tc>
          <w:tcPr>
            <w:tcW w:w="1701" w:type="dxa"/>
            <w:tcBorders>
              <w:top w:val="single" w:sz="4" w:space="0" w:color="auto"/>
              <w:bottom w:val="single" w:sz="4" w:space="0" w:color="auto"/>
              <w:right w:val="single" w:sz="4" w:space="0" w:color="auto"/>
            </w:tcBorders>
          </w:tcPr>
          <w:p w14:paraId="1EFA7E36" w14:textId="77777777" w:rsidR="00894BDA" w:rsidRPr="00EF5E34" w:rsidRDefault="00894BDA" w:rsidP="00BE33D6">
            <w:pPr>
              <w:rPr>
                <w:rFonts w:ascii="Arial" w:hAnsi="Arial" w:cs="Arial"/>
                <w:b/>
                <w:sz w:val="20"/>
                <w:szCs w:val="20"/>
              </w:rPr>
            </w:pPr>
            <w:r w:rsidRPr="00EF5E34">
              <w:rPr>
                <w:rFonts w:ascii="Arial" w:hAnsi="Arial" w:cs="Arial"/>
                <w:b/>
                <w:sz w:val="20"/>
                <w:szCs w:val="20"/>
              </w:rPr>
              <w:t>Operational</w:t>
            </w:r>
          </w:p>
        </w:tc>
        <w:tc>
          <w:tcPr>
            <w:tcW w:w="1417" w:type="dxa"/>
            <w:tcBorders>
              <w:top w:val="single" w:sz="4" w:space="0" w:color="auto"/>
              <w:left w:val="single" w:sz="4" w:space="0" w:color="auto"/>
              <w:bottom w:val="single" w:sz="4" w:space="0" w:color="auto"/>
              <w:right w:val="single" w:sz="4" w:space="0" w:color="auto"/>
            </w:tcBorders>
          </w:tcPr>
          <w:p w14:paraId="0AC8AEFE" w14:textId="77777777" w:rsidR="00894BDA" w:rsidRPr="00EF5E34" w:rsidRDefault="00475B4E" w:rsidP="00BE33D6">
            <w:pPr>
              <w:rPr>
                <w:rFonts w:ascii="Arial" w:hAnsi="Arial" w:cs="Arial"/>
                <w:b/>
                <w:sz w:val="20"/>
                <w:szCs w:val="20"/>
              </w:rPr>
            </w:pPr>
            <w:r w:rsidRPr="00EF5E34">
              <w:rPr>
                <w:rFonts w:ascii="Arial" w:hAnsi="Arial" w:cs="Arial"/>
                <w:b/>
                <w:sz w:val="20"/>
                <w:szCs w:val="20"/>
              </w:rPr>
              <w:t>Yes</w:t>
            </w:r>
            <w:sdt>
              <w:sdtPr>
                <w:rPr>
                  <w:rFonts w:ascii="Arial" w:hAnsi="Arial" w:cs="Arial"/>
                  <w:b/>
                  <w:sz w:val="20"/>
                  <w:szCs w:val="20"/>
                </w:rPr>
                <w:id w:val="844835123"/>
                <w14:checkbox>
                  <w14:checked w14:val="0"/>
                  <w14:checkedState w14:val="00FC" w14:font="Wingdings"/>
                  <w14:uncheckedState w14:val="2610" w14:font="MS Gothic"/>
                </w14:checkbox>
              </w:sdtPr>
              <w:sdtEndPr/>
              <w:sdtContent>
                <w:r w:rsidRPr="00EF5E34">
                  <w:rPr>
                    <w:rFonts w:ascii="Segoe UI Symbol" w:eastAsia="MS Gothic" w:hAnsi="Segoe UI Symbol" w:cs="Segoe UI Symbol"/>
                    <w:b/>
                    <w:sz w:val="20"/>
                    <w:szCs w:val="20"/>
                  </w:rPr>
                  <w:t>☐</w:t>
                </w:r>
              </w:sdtContent>
            </w:sdt>
            <w:r w:rsidRPr="00EF5E34">
              <w:rPr>
                <w:rFonts w:ascii="Arial" w:hAnsi="Arial" w:cs="Arial"/>
                <w:b/>
                <w:sz w:val="20"/>
                <w:szCs w:val="20"/>
              </w:rPr>
              <w:t xml:space="preserve"> No</w:t>
            </w:r>
            <w:sdt>
              <w:sdtPr>
                <w:rPr>
                  <w:rFonts w:ascii="Arial" w:hAnsi="Arial" w:cs="Arial"/>
                  <w:b/>
                  <w:sz w:val="20"/>
                  <w:szCs w:val="20"/>
                </w:rPr>
                <w:id w:val="-877087343"/>
                <w14:checkbox>
                  <w14:checked w14:val="1"/>
                  <w14:checkedState w14:val="00FC" w14:font="Wingdings"/>
                  <w14:uncheckedState w14:val="2610" w14:font="MS Gothic"/>
                </w14:checkbox>
              </w:sdtPr>
              <w:sdtEndPr/>
              <w:sdtContent>
                <w:r w:rsidR="001C4D19">
                  <w:rPr>
                    <w:rFonts w:ascii="Arial" w:hAnsi="Arial" w:cs="Arial"/>
                    <w:b/>
                    <w:sz w:val="20"/>
                    <w:szCs w:val="20"/>
                  </w:rPr>
                  <w:sym w:font="Wingdings" w:char="F0FC"/>
                </w:r>
              </w:sdtContent>
            </w:sdt>
          </w:p>
        </w:tc>
        <w:tc>
          <w:tcPr>
            <w:tcW w:w="9479" w:type="dxa"/>
            <w:tcBorders>
              <w:top w:val="single" w:sz="4" w:space="0" w:color="auto"/>
              <w:left w:val="single" w:sz="4" w:space="0" w:color="auto"/>
              <w:bottom w:val="single" w:sz="4" w:space="0" w:color="auto"/>
            </w:tcBorders>
          </w:tcPr>
          <w:p w14:paraId="4FEE03CA" w14:textId="77777777" w:rsidR="00894BDA" w:rsidRPr="00631811" w:rsidRDefault="00894BDA" w:rsidP="00BE33D6">
            <w:pPr>
              <w:rPr>
                <w:rFonts w:ascii="Arial" w:hAnsi="Arial" w:cs="Arial"/>
                <w:b/>
              </w:rPr>
            </w:pPr>
          </w:p>
        </w:tc>
      </w:tr>
      <w:tr w:rsidR="00894BDA" w:rsidRPr="00AF0E90" w14:paraId="05E550E6" w14:textId="77777777" w:rsidTr="00EF5E34">
        <w:trPr>
          <w:trHeight w:val="468"/>
        </w:trPr>
        <w:tc>
          <w:tcPr>
            <w:tcW w:w="2537" w:type="dxa"/>
            <w:vMerge/>
          </w:tcPr>
          <w:p w14:paraId="182BD1FA" w14:textId="77777777" w:rsidR="00894BDA" w:rsidRPr="00631811" w:rsidRDefault="00894BDA" w:rsidP="00D92939">
            <w:pPr>
              <w:rPr>
                <w:rFonts w:ascii="Arial" w:hAnsi="Arial" w:cs="Arial"/>
                <w:b/>
              </w:rPr>
            </w:pPr>
          </w:p>
        </w:tc>
        <w:tc>
          <w:tcPr>
            <w:tcW w:w="1701" w:type="dxa"/>
            <w:tcBorders>
              <w:top w:val="single" w:sz="4" w:space="0" w:color="auto"/>
              <w:bottom w:val="single" w:sz="4" w:space="0" w:color="auto"/>
              <w:right w:val="single" w:sz="4" w:space="0" w:color="auto"/>
            </w:tcBorders>
          </w:tcPr>
          <w:p w14:paraId="64231798" w14:textId="77777777" w:rsidR="00894BDA" w:rsidRPr="00EF5E34" w:rsidRDefault="00894BDA" w:rsidP="00BE33D6">
            <w:pPr>
              <w:rPr>
                <w:rFonts w:ascii="Arial" w:hAnsi="Arial" w:cs="Arial"/>
                <w:b/>
                <w:sz w:val="20"/>
                <w:szCs w:val="20"/>
              </w:rPr>
            </w:pPr>
            <w:r w:rsidRPr="00EF5E34">
              <w:rPr>
                <w:rFonts w:ascii="Arial" w:hAnsi="Arial" w:cs="Arial"/>
                <w:b/>
                <w:sz w:val="20"/>
                <w:szCs w:val="20"/>
              </w:rPr>
              <w:t>Workforce</w:t>
            </w:r>
          </w:p>
        </w:tc>
        <w:tc>
          <w:tcPr>
            <w:tcW w:w="1417" w:type="dxa"/>
            <w:tcBorders>
              <w:top w:val="single" w:sz="4" w:space="0" w:color="auto"/>
              <w:left w:val="single" w:sz="4" w:space="0" w:color="auto"/>
              <w:bottom w:val="single" w:sz="4" w:space="0" w:color="auto"/>
              <w:right w:val="single" w:sz="4" w:space="0" w:color="auto"/>
            </w:tcBorders>
          </w:tcPr>
          <w:p w14:paraId="314D0FC4" w14:textId="77777777" w:rsidR="00894BDA" w:rsidRPr="00EF5E34" w:rsidRDefault="00475B4E" w:rsidP="00BE33D6">
            <w:pPr>
              <w:rPr>
                <w:rFonts w:ascii="Arial" w:hAnsi="Arial" w:cs="Arial"/>
                <w:b/>
                <w:sz w:val="20"/>
                <w:szCs w:val="20"/>
              </w:rPr>
            </w:pPr>
            <w:r w:rsidRPr="00EF5E34">
              <w:rPr>
                <w:rFonts w:ascii="Arial" w:hAnsi="Arial" w:cs="Arial"/>
                <w:b/>
                <w:sz w:val="20"/>
                <w:szCs w:val="20"/>
              </w:rPr>
              <w:t>Yes</w:t>
            </w:r>
            <w:sdt>
              <w:sdtPr>
                <w:rPr>
                  <w:rFonts w:ascii="Arial" w:hAnsi="Arial" w:cs="Arial"/>
                  <w:b/>
                  <w:sz w:val="20"/>
                  <w:szCs w:val="20"/>
                </w:rPr>
                <w:id w:val="-850493548"/>
                <w14:checkbox>
                  <w14:checked w14:val="1"/>
                  <w14:checkedState w14:val="00FC" w14:font="Wingdings"/>
                  <w14:uncheckedState w14:val="2610" w14:font="MS Gothic"/>
                </w14:checkbox>
              </w:sdtPr>
              <w:sdtEndPr/>
              <w:sdtContent>
                <w:r w:rsidR="001C4D19">
                  <w:rPr>
                    <w:rFonts w:ascii="Arial" w:hAnsi="Arial" w:cs="Arial"/>
                    <w:b/>
                    <w:sz w:val="20"/>
                    <w:szCs w:val="20"/>
                  </w:rPr>
                  <w:sym w:font="Wingdings" w:char="F0FC"/>
                </w:r>
              </w:sdtContent>
            </w:sdt>
            <w:r w:rsidRPr="00EF5E34">
              <w:rPr>
                <w:rFonts w:ascii="Arial" w:hAnsi="Arial" w:cs="Arial"/>
                <w:b/>
                <w:sz w:val="20"/>
                <w:szCs w:val="20"/>
              </w:rPr>
              <w:t xml:space="preserve"> No</w:t>
            </w:r>
            <w:sdt>
              <w:sdtPr>
                <w:rPr>
                  <w:rFonts w:ascii="Arial" w:hAnsi="Arial" w:cs="Arial"/>
                  <w:b/>
                  <w:sz w:val="20"/>
                  <w:szCs w:val="20"/>
                </w:rPr>
                <w:id w:val="-1587766530"/>
                <w14:checkbox>
                  <w14:checked w14:val="0"/>
                  <w14:checkedState w14:val="00FC" w14:font="Wingdings"/>
                  <w14:uncheckedState w14:val="2610" w14:font="MS Gothic"/>
                </w14:checkbox>
              </w:sdtPr>
              <w:sdtEndPr/>
              <w:sdtContent>
                <w:r w:rsidRPr="00EF5E34">
                  <w:rPr>
                    <w:rFonts w:ascii="Segoe UI Symbol" w:eastAsia="MS Gothic" w:hAnsi="Segoe UI Symbol" w:cs="Segoe UI Symbol"/>
                    <w:b/>
                    <w:sz w:val="20"/>
                    <w:szCs w:val="20"/>
                  </w:rPr>
                  <w:t>☐</w:t>
                </w:r>
              </w:sdtContent>
            </w:sdt>
          </w:p>
        </w:tc>
        <w:tc>
          <w:tcPr>
            <w:tcW w:w="9479" w:type="dxa"/>
            <w:tcBorders>
              <w:top w:val="single" w:sz="4" w:space="0" w:color="auto"/>
              <w:left w:val="single" w:sz="4" w:space="0" w:color="auto"/>
              <w:bottom w:val="single" w:sz="4" w:space="0" w:color="auto"/>
            </w:tcBorders>
          </w:tcPr>
          <w:p w14:paraId="74629B1B" w14:textId="77777777" w:rsidR="00894BDA" w:rsidRPr="00631811" w:rsidRDefault="00894BDA" w:rsidP="00BE33D6">
            <w:pPr>
              <w:rPr>
                <w:rFonts w:ascii="Arial" w:hAnsi="Arial" w:cs="Arial"/>
                <w:b/>
              </w:rPr>
            </w:pPr>
          </w:p>
        </w:tc>
      </w:tr>
      <w:tr w:rsidR="00894BDA" w:rsidRPr="00AF0E90" w14:paraId="32A4226A" w14:textId="77777777" w:rsidTr="00EF5E34">
        <w:trPr>
          <w:trHeight w:val="477"/>
        </w:trPr>
        <w:tc>
          <w:tcPr>
            <w:tcW w:w="2537" w:type="dxa"/>
            <w:vMerge/>
          </w:tcPr>
          <w:p w14:paraId="495D4538" w14:textId="77777777" w:rsidR="00894BDA" w:rsidRPr="00631811" w:rsidRDefault="00894BDA" w:rsidP="00D92939">
            <w:pPr>
              <w:rPr>
                <w:rFonts w:ascii="Arial" w:hAnsi="Arial" w:cs="Arial"/>
                <w:b/>
              </w:rPr>
            </w:pPr>
          </w:p>
        </w:tc>
        <w:tc>
          <w:tcPr>
            <w:tcW w:w="1701" w:type="dxa"/>
            <w:tcBorders>
              <w:top w:val="single" w:sz="4" w:space="0" w:color="auto"/>
              <w:right w:val="single" w:sz="4" w:space="0" w:color="auto"/>
            </w:tcBorders>
          </w:tcPr>
          <w:p w14:paraId="1A3561FE" w14:textId="77777777" w:rsidR="00894BDA" w:rsidRPr="00EF5E34" w:rsidRDefault="00894BDA" w:rsidP="00BE33D6">
            <w:pPr>
              <w:rPr>
                <w:rFonts w:ascii="Arial" w:hAnsi="Arial" w:cs="Arial"/>
                <w:b/>
                <w:sz w:val="20"/>
                <w:szCs w:val="20"/>
              </w:rPr>
            </w:pPr>
            <w:r w:rsidRPr="00EF5E34">
              <w:rPr>
                <w:rFonts w:ascii="Arial" w:hAnsi="Arial" w:cs="Arial"/>
                <w:b/>
                <w:sz w:val="20"/>
                <w:szCs w:val="20"/>
              </w:rPr>
              <w:t>Financial</w:t>
            </w:r>
          </w:p>
        </w:tc>
        <w:tc>
          <w:tcPr>
            <w:tcW w:w="1417" w:type="dxa"/>
            <w:tcBorders>
              <w:top w:val="single" w:sz="4" w:space="0" w:color="auto"/>
              <w:left w:val="single" w:sz="4" w:space="0" w:color="auto"/>
              <w:right w:val="single" w:sz="4" w:space="0" w:color="auto"/>
            </w:tcBorders>
          </w:tcPr>
          <w:p w14:paraId="0CFD0F4A" w14:textId="77777777" w:rsidR="00894BDA" w:rsidRPr="00EF5E34" w:rsidRDefault="00475B4E" w:rsidP="00BE33D6">
            <w:pPr>
              <w:rPr>
                <w:rFonts w:ascii="Arial" w:hAnsi="Arial" w:cs="Arial"/>
                <w:b/>
                <w:sz w:val="20"/>
                <w:szCs w:val="20"/>
              </w:rPr>
            </w:pPr>
            <w:r w:rsidRPr="00EF5E34">
              <w:rPr>
                <w:rFonts w:ascii="Arial" w:hAnsi="Arial" w:cs="Arial"/>
                <w:b/>
                <w:sz w:val="20"/>
                <w:szCs w:val="20"/>
              </w:rPr>
              <w:t>Yes</w:t>
            </w:r>
            <w:sdt>
              <w:sdtPr>
                <w:rPr>
                  <w:rFonts w:ascii="Arial" w:hAnsi="Arial" w:cs="Arial"/>
                  <w:b/>
                  <w:sz w:val="20"/>
                  <w:szCs w:val="20"/>
                </w:rPr>
                <w:id w:val="1367105964"/>
                <w14:checkbox>
                  <w14:checked w14:val="1"/>
                  <w14:checkedState w14:val="00FC" w14:font="Wingdings"/>
                  <w14:uncheckedState w14:val="2610" w14:font="MS Gothic"/>
                </w14:checkbox>
              </w:sdtPr>
              <w:sdtEndPr/>
              <w:sdtContent>
                <w:r w:rsidR="007046D0">
                  <w:rPr>
                    <w:rFonts w:ascii="Arial" w:hAnsi="Arial" w:cs="Arial"/>
                    <w:b/>
                    <w:sz w:val="20"/>
                    <w:szCs w:val="20"/>
                  </w:rPr>
                  <w:sym w:font="Wingdings" w:char="F0FC"/>
                </w:r>
              </w:sdtContent>
            </w:sdt>
            <w:r w:rsidRPr="00EF5E34">
              <w:rPr>
                <w:rFonts w:ascii="Arial" w:hAnsi="Arial" w:cs="Arial"/>
                <w:b/>
                <w:sz w:val="20"/>
                <w:szCs w:val="20"/>
              </w:rPr>
              <w:t xml:space="preserve"> No</w:t>
            </w:r>
            <w:sdt>
              <w:sdtPr>
                <w:rPr>
                  <w:rFonts w:ascii="Arial" w:hAnsi="Arial" w:cs="Arial"/>
                  <w:b/>
                  <w:sz w:val="20"/>
                  <w:szCs w:val="20"/>
                </w:rPr>
                <w:id w:val="1390619443"/>
                <w14:checkbox>
                  <w14:checked w14:val="1"/>
                  <w14:checkedState w14:val="00FC" w14:font="Wingdings"/>
                  <w14:uncheckedState w14:val="2610" w14:font="MS Gothic"/>
                </w14:checkbox>
              </w:sdtPr>
              <w:sdtEndPr/>
              <w:sdtContent>
                <w:r w:rsidR="001C4D19">
                  <w:rPr>
                    <w:rFonts w:ascii="Arial" w:hAnsi="Arial" w:cs="Arial"/>
                    <w:b/>
                    <w:sz w:val="20"/>
                    <w:szCs w:val="20"/>
                  </w:rPr>
                  <w:sym w:font="Wingdings" w:char="F0FC"/>
                </w:r>
              </w:sdtContent>
            </w:sdt>
          </w:p>
        </w:tc>
        <w:tc>
          <w:tcPr>
            <w:tcW w:w="9479" w:type="dxa"/>
            <w:tcBorders>
              <w:top w:val="single" w:sz="4" w:space="0" w:color="auto"/>
              <w:left w:val="single" w:sz="4" w:space="0" w:color="auto"/>
            </w:tcBorders>
          </w:tcPr>
          <w:p w14:paraId="63403E55" w14:textId="77777777" w:rsidR="00894BDA" w:rsidRPr="00631811" w:rsidRDefault="00894BDA" w:rsidP="00BE33D6">
            <w:pPr>
              <w:rPr>
                <w:rFonts w:ascii="Arial" w:hAnsi="Arial" w:cs="Arial"/>
                <w:b/>
              </w:rPr>
            </w:pPr>
          </w:p>
        </w:tc>
      </w:tr>
      <w:tr w:rsidR="008D46A9" w:rsidRPr="008D46A9" w14:paraId="6424A84E" w14:textId="77777777" w:rsidTr="00894BDA">
        <w:trPr>
          <w:trHeight w:val="831"/>
        </w:trPr>
        <w:tc>
          <w:tcPr>
            <w:tcW w:w="15134" w:type="dxa"/>
            <w:gridSpan w:val="4"/>
          </w:tcPr>
          <w:p w14:paraId="5DC906AF" w14:textId="77777777" w:rsidR="000952C0" w:rsidRDefault="00C45414" w:rsidP="000952C0">
            <w:pPr>
              <w:pStyle w:val="ListParagraph"/>
              <w:numPr>
                <w:ilvl w:val="0"/>
                <w:numId w:val="8"/>
              </w:numPr>
              <w:tabs>
                <w:tab w:val="left" w:pos="567"/>
              </w:tabs>
              <w:spacing w:line="276" w:lineRule="auto"/>
              <w:rPr>
                <w:rFonts w:ascii="Arial" w:hAnsi="Arial" w:cs="Arial"/>
                <w:b/>
                <w:u w:val="single"/>
              </w:rPr>
            </w:pPr>
            <w:r w:rsidRPr="00631811">
              <w:rPr>
                <w:rFonts w:ascii="Arial" w:hAnsi="Arial" w:cs="Arial"/>
                <w:b/>
                <w:u w:val="single"/>
              </w:rPr>
              <w:t>Background/Contex</w:t>
            </w:r>
            <w:r w:rsidR="000952C0">
              <w:rPr>
                <w:rFonts w:ascii="Arial" w:hAnsi="Arial" w:cs="Arial"/>
                <w:b/>
                <w:u w:val="single"/>
              </w:rPr>
              <w:t>t</w:t>
            </w:r>
          </w:p>
          <w:p w14:paraId="04126109" w14:textId="77777777" w:rsidR="000952C0" w:rsidRPr="000952C0" w:rsidRDefault="000952C0" w:rsidP="000952C0">
            <w:pPr>
              <w:pStyle w:val="ListParagraph"/>
              <w:tabs>
                <w:tab w:val="left" w:pos="567"/>
              </w:tabs>
              <w:spacing w:line="276" w:lineRule="auto"/>
              <w:ind w:left="1080"/>
              <w:rPr>
                <w:rFonts w:ascii="Arial" w:hAnsi="Arial" w:cs="Arial"/>
                <w:b/>
                <w:u w:val="single"/>
              </w:rPr>
            </w:pPr>
          </w:p>
          <w:p w14:paraId="50215A9A" w14:textId="77777777" w:rsidR="00B04CA4" w:rsidRPr="00B04CA4" w:rsidRDefault="000952C0" w:rsidP="00B04CA4">
            <w:pPr>
              <w:pStyle w:val="ListParagraph"/>
              <w:numPr>
                <w:ilvl w:val="1"/>
                <w:numId w:val="8"/>
              </w:numPr>
              <w:tabs>
                <w:tab w:val="left" w:pos="567"/>
              </w:tabs>
              <w:spacing w:line="276" w:lineRule="auto"/>
              <w:ind w:left="731" w:hanging="425"/>
              <w:rPr>
                <w:rFonts w:ascii="Arial" w:hAnsi="Arial" w:cs="Arial"/>
                <w:b/>
                <w:u w:val="single"/>
              </w:rPr>
            </w:pPr>
            <w:r w:rsidRPr="000952C0">
              <w:rPr>
                <w:rFonts w:ascii="Arial" w:hAnsi="Arial" w:cs="Arial"/>
                <w:color w:val="000000"/>
                <w:szCs w:val="25"/>
              </w:rPr>
              <w:t>The greatest resource that the NHS has is its staff. It is the fifth largest employer in the world with almost one in five of its workforce being of black and minority ethnic (B</w:t>
            </w:r>
            <w:r w:rsidR="0025195D">
              <w:rPr>
                <w:rFonts w:ascii="Arial" w:hAnsi="Arial" w:cs="Arial"/>
                <w:color w:val="000000"/>
                <w:szCs w:val="25"/>
              </w:rPr>
              <w:t>A</w:t>
            </w:r>
            <w:r w:rsidRPr="000952C0">
              <w:rPr>
                <w:rFonts w:ascii="Arial" w:hAnsi="Arial" w:cs="Arial"/>
                <w:color w:val="000000"/>
                <w:szCs w:val="25"/>
              </w:rPr>
              <w:t>ME) origin. At the same time, research and evidence strongly suggest that B</w:t>
            </w:r>
            <w:r w:rsidR="0025195D">
              <w:rPr>
                <w:rFonts w:ascii="Arial" w:hAnsi="Arial" w:cs="Arial"/>
                <w:color w:val="000000"/>
                <w:szCs w:val="25"/>
              </w:rPr>
              <w:t>A</w:t>
            </w:r>
            <w:r w:rsidRPr="000952C0">
              <w:rPr>
                <w:rFonts w:ascii="Arial" w:hAnsi="Arial" w:cs="Arial"/>
                <w:color w:val="000000"/>
                <w:szCs w:val="25"/>
              </w:rPr>
              <w:t>ME staff in the NHS are treated less favourably, have poorer experience and progression opportunities. This in turn has significant implications for the efficient and effective running of the NHS, including adverse impacts on the quality of care received by all patients</w:t>
            </w:r>
            <w:r w:rsidR="00B04CA4">
              <w:rPr>
                <w:rFonts w:ascii="Arial" w:hAnsi="Arial" w:cs="Arial"/>
                <w:color w:val="000000"/>
                <w:szCs w:val="25"/>
              </w:rPr>
              <w:t>.</w:t>
            </w:r>
          </w:p>
          <w:p w14:paraId="2A9DB8F6" w14:textId="77777777" w:rsidR="00B04CA4" w:rsidRPr="00B04CA4" w:rsidRDefault="00B04CA4" w:rsidP="00B04CA4">
            <w:pPr>
              <w:pStyle w:val="ListParagraph"/>
              <w:tabs>
                <w:tab w:val="left" w:pos="567"/>
              </w:tabs>
              <w:spacing w:line="276" w:lineRule="auto"/>
              <w:ind w:left="731"/>
              <w:rPr>
                <w:rFonts w:ascii="Arial" w:hAnsi="Arial" w:cs="Arial"/>
                <w:b/>
                <w:u w:val="single"/>
              </w:rPr>
            </w:pPr>
          </w:p>
          <w:p w14:paraId="7FCD883C" w14:textId="045DA0BF" w:rsidR="00B04CA4" w:rsidRPr="00B04CA4" w:rsidRDefault="000952C0" w:rsidP="00B04CA4">
            <w:pPr>
              <w:pStyle w:val="ListParagraph"/>
              <w:numPr>
                <w:ilvl w:val="1"/>
                <w:numId w:val="8"/>
              </w:numPr>
              <w:tabs>
                <w:tab w:val="left" w:pos="567"/>
              </w:tabs>
              <w:spacing w:line="276" w:lineRule="auto"/>
              <w:ind w:left="731" w:hanging="425"/>
              <w:rPr>
                <w:rFonts w:ascii="Arial" w:hAnsi="Arial" w:cs="Arial"/>
                <w:b/>
                <w:u w:val="single"/>
              </w:rPr>
            </w:pPr>
            <w:r w:rsidRPr="00B04CA4">
              <w:rPr>
                <w:rFonts w:ascii="Arial" w:hAnsi="Arial" w:cs="Arial"/>
              </w:rPr>
              <w:t xml:space="preserve">The WRES, introduced in 2015, seeks to prompt inquiry to better understand why it is that BAME staff receive poorer treatment than White staff in the workplace and to facilitate the closing of these gaps. </w:t>
            </w:r>
            <w:r w:rsidR="00B04CA4" w:rsidRPr="00B04CA4">
              <w:rPr>
                <w:rFonts w:ascii="Arial" w:hAnsi="Arial" w:cs="Arial"/>
              </w:rPr>
              <w:t>The focus of th</w:t>
            </w:r>
            <w:r w:rsidR="00B04CA4">
              <w:rPr>
                <w:rFonts w:ascii="Arial" w:hAnsi="Arial" w:cs="Arial"/>
              </w:rPr>
              <w:t>e</w:t>
            </w:r>
            <w:r w:rsidR="00B04CA4" w:rsidRPr="00B04CA4">
              <w:rPr>
                <w:rFonts w:ascii="Arial" w:hAnsi="Arial" w:cs="Arial"/>
              </w:rPr>
              <w:t xml:space="preserve"> report is to present the Trust’s performance against the WRES indicators for the past 12 months and </w:t>
            </w:r>
            <w:r w:rsidR="00CE26F9">
              <w:rPr>
                <w:rFonts w:ascii="Arial" w:hAnsi="Arial" w:cs="Arial"/>
              </w:rPr>
              <w:t>recommend an</w:t>
            </w:r>
            <w:r w:rsidR="00B04CA4" w:rsidRPr="00B04CA4">
              <w:rPr>
                <w:rFonts w:ascii="Arial" w:hAnsi="Arial" w:cs="Arial"/>
              </w:rPr>
              <w:t xml:space="preserve"> action plan </w:t>
            </w:r>
            <w:r w:rsidR="00CE26F9">
              <w:rPr>
                <w:rFonts w:ascii="Arial" w:hAnsi="Arial" w:cs="Arial"/>
              </w:rPr>
              <w:t>to</w:t>
            </w:r>
            <w:r w:rsidR="00B04CA4" w:rsidRPr="00B04CA4">
              <w:rPr>
                <w:rFonts w:ascii="Arial" w:hAnsi="Arial" w:cs="Arial"/>
              </w:rPr>
              <w:t xml:space="preserve"> ultimately improve the experience and opportunities for our BAME staff in the coming years.</w:t>
            </w:r>
          </w:p>
          <w:p w14:paraId="0AF061F5" w14:textId="77777777" w:rsidR="00B04CA4" w:rsidRPr="00B04CA4" w:rsidRDefault="00B04CA4" w:rsidP="00B04CA4">
            <w:pPr>
              <w:pStyle w:val="ListParagraph"/>
              <w:rPr>
                <w:rFonts w:ascii="Arial" w:hAnsi="Arial" w:cs="Arial"/>
              </w:rPr>
            </w:pPr>
          </w:p>
          <w:p w14:paraId="42EAA6BB" w14:textId="66A40CD4" w:rsidR="00822134" w:rsidRPr="00420438" w:rsidRDefault="000952C0" w:rsidP="005E1D4B">
            <w:pPr>
              <w:pStyle w:val="ListParagraph"/>
              <w:numPr>
                <w:ilvl w:val="1"/>
                <w:numId w:val="8"/>
              </w:numPr>
              <w:tabs>
                <w:tab w:val="left" w:pos="567"/>
              </w:tabs>
              <w:ind w:left="731" w:hanging="425"/>
              <w:rPr>
                <w:rFonts w:ascii="Arial" w:hAnsi="Arial" w:cs="Arial"/>
              </w:rPr>
            </w:pPr>
            <w:r w:rsidRPr="00420438">
              <w:rPr>
                <w:rFonts w:ascii="Arial" w:hAnsi="Arial" w:cs="Arial"/>
              </w:rPr>
              <w:t>The WRES 202</w:t>
            </w:r>
            <w:r w:rsidR="00FD11BC" w:rsidRPr="00420438">
              <w:rPr>
                <w:rFonts w:ascii="Arial" w:hAnsi="Arial" w:cs="Arial"/>
              </w:rPr>
              <w:t xml:space="preserve">3 </w:t>
            </w:r>
            <w:r w:rsidRPr="00420438">
              <w:rPr>
                <w:rFonts w:ascii="Arial" w:hAnsi="Arial" w:cs="Arial"/>
              </w:rPr>
              <w:t xml:space="preserve">report </w:t>
            </w:r>
            <w:r w:rsidR="00C55B49" w:rsidRPr="00420438">
              <w:rPr>
                <w:rFonts w:ascii="Arial" w:hAnsi="Arial" w:cs="Arial"/>
              </w:rPr>
              <w:t>captures data from April 202</w:t>
            </w:r>
            <w:r w:rsidR="004E0542" w:rsidRPr="00420438">
              <w:rPr>
                <w:rFonts w:ascii="Arial" w:hAnsi="Arial" w:cs="Arial"/>
              </w:rPr>
              <w:t>3</w:t>
            </w:r>
            <w:r w:rsidR="00C55B49" w:rsidRPr="00420438">
              <w:rPr>
                <w:rFonts w:ascii="Arial" w:hAnsi="Arial" w:cs="Arial"/>
              </w:rPr>
              <w:t xml:space="preserve"> to March 202</w:t>
            </w:r>
            <w:r w:rsidR="004E0542" w:rsidRPr="00420438">
              <w:rPr>
                <w:rFonts w:ascii="Arial" w:hAnsi="Arial" w:cs="Arial"/>
              </w:rPr>
              <w:t>4</w:t>
            </w:r>
            <w:r w:rsidR="003D704A" w:rsidRPr="00420438">
              <w:rPr>
                <w:rFonts w:ascii="Arial" w:hAnsi="Arial" w:cs="Arial"/>
              </w:rPr>
              <w:t xml:space="preserve"> and is</w:t>
            </w:r>
            <w:r w:rsidRPr="00420438">
              <w:rPr>
                <w:rFonts w:ascii="Arial" w:hAnsi="Arial" w:cs="Arial"/>
              </w:rPr>
              <w:t xml:space="preserve"> required to be published on the Trust’s website </w:t>
            </w:r>
            <w:r w:rsidR="00420438" w:rsidRPr="008272A1">
              <w:rPr>
                <w:rFonts w:ascii="Arial" w:hAnsi="Arial" w:cs="Arial"/>
              </w:rPr>
              <w:t xml:space="preserve">by </w:t>
            </w:r>
            <w:r w:rsidR="00420438" w:rsidRPr="00420438">
              <w:rPr>
                <w:rFonts w:ascii="Arial" w:hAnsi="Arial" w:cs="Arial"/>
              </w:rPr>
              <w:t>September 2024</w:t>
            </w:r>
            <w:r w:rsidR="00FD11BC" w:rsidRPr="00420438">
              <w:rPr>
                <w:rFonts w:ascii="Arial" w:hAnsi="Arial" w:cs="Arial"/>
              </w:rPr>
              <w:t xml:space="preserve"> </w:t>
            </w:r>
            <w:r w:rsidRPr="00420438">
              <w:rPr>
                <w:rFonts w:ascii="Arial" w:hAnsi="Arial" w:cs="Arial"/>
              </w:rPr>
              <w:t>following approval from the Hospital Management Board</w:t>
            </w:r>
            <w:r w:rsidR="00B04CA4" w:rsidRPr="00420438">
              <w:rPr>
                <w:rFonts w:ascii="Arial" w:hAnsi="Arial" w:cs="Arial"/>
              </w:rPr>
              <w:t>.</w:t>
            </w:r>
            <w:r w:rsidR="00B5381D" w:rsidRPr="00420438">
              <w:rPr>
                <w:rFonts w:ascii="Arial" w:hAnsi="Arial" w:cs="Arial"/>
              </w:rPr>
              <w:t xml:space="preserve"> </w:t>
            </w:r>
          </w:p>
          <w:p w14:paraId="3F0B2CA6" w14:textId="77777777" w:rsidR="00B04CA4" w:rsidRDefault="00C45414" w:rsidP="00B04CA4">
            <w:pPr>
              <w:pStyle w:val="ListParagraph"/>
              <w:numPr>
                <w:ilvl w:val="0"/>
                <w:numId w:val="8"/>
              </w:numPr>
              <w:rPr>
                <w:rFonts w:ascii="Arial" w:hAnsi="Arial" w:cs="Arial"/>
                <w:b/>
                <w:u w:val="single"/>
              </w:rPr>
            </w:pPr>
            <w:r w:rsidRPr="00C75189">
              <w:rPr>
                <w:rFonts w:ascii="Arial" w:hAnsi="Arial" w:cs="Arial"/>
                <w:b/>
                <w:u w:val="single"/>
              </w:rPr>
              <w:lastRenderedPageBreak/>
              <w:t>Key issues, risks and actions</w:t>
            </w:r>
          </w:p>
          <w:p w14:paraId="2ABCB88B" w14:textId="77777777" w:rsidR="00570C0E" w:rsidRDefault="00570C0E" w:rsidP="00B04CA4">
            <w:pPr>
              <w:pStyle w:val="ListParagraph"/>
              <w:rPr>
                <w:rFonts w:ascii="Arial" w:hAnsi="Arial" w:cs="Arial"/>
                <w:b/>
                <w:u w:val="single"/>
              </w:rPr>
            </w:pPr>
          </w:p>
          <w:p w14:paraId="250076FA" w14:textId="77777777" w:rsidR="00B04CA4" w:rsidRPr="00B04CA4" w:rsidRDefault="00B04CA4" w:rsidP="00B04CA4">
            <w:pPr>
              <w:pStyle w:val="ListParagraph"/>
              <w:numPr>
                <w:ilvl w:val="1"/>
                <w:numId w:val="8"/>
              </w:numPr>
              <w:rPr>
                <w:rFonts w:ascii="Arial" w:hAnsi="Arial" w:cs="Arial"/>
                <w:b/>
                <w:u w:val="single"/>
              </w:rPr>
            </w:pPr>
            <w:r w:rsidRPr="00B04CA4">
              <w:rPr>
                <w:rFonts w:ascii="Arial" w:hAnsi="Arial" w:cs="Arial"/>
              </w:rPr>
              <w:t>The briefing paper attached includes the WRES findings,</w:t>
            </w:r>
            <w:r w:rsidR="004574D9">
              <w:rPr>
                <w:rFonts w:ascii="Arial" w:hAnsi="Arial" w:cs="Arial"/>
              </w:rPr>
              <w:t xml:space="preserve"> and</w:t>
            </w:r>
            <w:r w:rsidRPr="00B04CA4">
              <w:rPr>
                <w:rFonts w:ascii="Arial" w:hAnsi="Arial" w:cs="Arial"/>
              </w:rPr>
              <w:t xml:space="preserve"> our progress</w:t>
            </w:r>
            <w:r w:rsidR="004574D9">
              <w:rPr>
                <w:rFonts w:ascii="Arial" w:hAnsi="Arial" w:cs="Arial"/>
              </w:rPr>
              <w:t>.</w:t>
            </w:r>
            <w:r w:rsidRPr="00B04CA4">
              <w:rPr>
                <w:rFonts w:ascii="Arial" w:hAnsi="Arial" w:cs="Arial"/>
              </w:rPr>
              <w:t xml:space="preserve"> </w:t>
            </w:r>
            <w:r w:rsidR="0025195D">
              <w:rPr>
                <w:rFonts w:ascii="Arial" w:hAnsi="Arial" w:cs="Arial"/>
              </w:rPr>
              <w:t xml:space="preserve">As a result, it is recommended that our key focus </w:t>
            </w:r>
            <w:r w:rsidRPr="00B04CA4">
              <w:rPr>
                <w:rFonts w:ascii="Arial" w:hAnsi="Arial" w:cs="Arial"/>
              </w:rPr>
              <w:t>should be:</w:t>
            </w:r>
          </w:p>
          <w:p w14:paraId="1DE11D6E" w14:textId="77777777" w:rsidR="00644099" w:rsidRPr="00172C96" w:rsidRDefault="00644099" w:rsidP="00644099">
            <w:pPr>
              <w:rPr>
                <w:rFonts w:ascii="Arial" w:hAnsi="Arial" w:cs="Arial"/>
                <w:b/>
                <w:u w:val="single"/>
              </w:rPr>
            </w:pPr>
          </w:p>
          <w:p w14:paraId="6032B8CF" w14:textId="3B2BB48F" w:rsidR="00644099" w:rsidRPr="00172C96" w:rsidRDefault="00B04CA4" w:rsidP="001D3022">
            <w:pPr>
              <w:pStyle w:val="ListParagraph"/>
              <w:numPr>
                <w:ilvl w:val="0"/>
                <w:numId w:val="24"/>
              </w:numPr>
              <w:rPr>
                <w:rFonts w:ascii="Arial" w:hAnsi="Arial" w:cs="Arial"/>
                <w:b/>
                <w:u w:val="single"/>
              </w:rPr>
            </w:pPr>
            <w:r w:rsidRPr="00172C96">
              <w:rPr>
                <w:rFonts w:ascii="Arial" w:hAnsi="Arial" w:cs="Arial"/>
                <w:b/>
              </w:rPr>
              <w:t>WRES Indicator 2</w:t>
            </w:r>
            <w:r w:rsidRPr="00172C96">
              <w:rPr>
                <w:rFonts w:ascii="Arial" w:hAnsi="Arial" w:cs="Arial"/>
                <w:bCs/>
              </w:rPr>
              <w:t xml:space="preserve"> – white candidates are</w:t>
            </w:r>
            <w:r w:rsidR="00733144" w:rsidRPr="00172C96">
              <w:rPr>
                <w:rFonts w:ascii="Arial" w:hAnsi="Arial" w:cs="Arial"/>
                <w:bCs/>
              </w:rPr>
              <w:t xml:space="preserve"> </w:t>
            </w:r>
            <w:r w:rsidR="0049377B" w:rsidRPr="005F4903">
              <w:rPr>
                <w:rFonts w:ascii="Arial" w:hAnsi="Arial" w:cs="Arial"/>
                <w:b/>
              </w:rPr>
              <w:t>1</w:t>
            </w:r>
            <w:r w:rsidR="00090912" w:rsidRPr="005F4903">
              <w:rPr>
                <w:rFonts w:ascii="Arial" w:hAnsi="Arial" w:cs="Arial"/>
                <w:b/>
              </w:rPr>
              <w:t>.5</w:t>
            </w:r>
            <w:r w:rsidR="005F4903">
              <w:rPr>
                <w:rFonts w:ascii="Arial" w:hAnsi="Arial" w:cs="Arial"/>
                <w:b/>
              </w:rPr>
              <w:t>3</w:t>
            </w:r>
            <w:r w:rsidR="00733144" w:rsidRPr="005F4903">
              <w:rPr>
                <w:rFonts w:ascii="Arial" w:hAnsi="Arial" w:cs="Arial"/>
                <w:b/>
              </w:rPr>
              <w:t>x</w:t>
            </w:r>
            <w:r w:rsidRPr="005F4903">
              <w:rPr>
                <w:rFonts w:ascii="Arial" w:hAnsi="Arial" w:cs="Arial"/>
                <w:bCs/>
              </w:rPr>
              <w:t xml:space="preserve"> </w:t>
            </w:r>
            <w:r w:rsidRPr="00172C96">
              <w:rPr>
                <w:rFonts w:ascii="Arial" w:hAnsi="Arial" w:cs="Arial"/>
                <w:bCs/>
              </w:rPr>
              <w:t xml:space="preserve">more likely to be appointed from shortlisting compared to BAME </w:t>
            </w:r>
            <w:r w:rsidR="00E17C3A" w:rsidRPr="00172C96">
              <w:rPr>
                <w:rFonts w:ascii="Arial" w:hAnsi="Arial" w:cs="Arial"/>
                <w:bCs/>
              </w:rPr>
              <w:t>candidates.</w:t>
            </w:r>
            <w:r w:rsidR="00E17C3A">
              <w:rPr>
                <w:rFonts w:ascii="Arial" w:hAnsi="Arial" w:cs="Arial"/>
                <w:bCs/>
              </w:rPr>
              <w:t xml:space="preserve"> There</w:t>
            </w:r>
            <w:r w:rsidR="0025195D">
              <w:rPr>
                <w:rFonts w:ascii="Arial" w:hAnsi="Arial" w:cs="Arial"/>
                <w:bCs/>
              </w:rPr>
              <w:t xml:space="preserve"> is </w:t>
            </w:r>
            <w:r w:rsidR="00CE26F9">
              <w:rPr>
                <w:rFonts w:ascii="Arial" w:hAnsi="Arial" w:cs="Arial"/>
                <w:bCs/>
              </w:rPr>
              <w:t>an improvement</w:t>
            </w:r>
            <w:r w:rsidR="00E17C3A">
              <w:rPr>
                <w:rFonts w:ascii="Arial" w:hAnsi="Arial" w:cs="Arial"/>
                <w:bCs/>
              </w:rPr>
              <w:t xml:space="preserve"> </w:t>
            </w:r>
            <w:r w:rsidR="00733144" w:rsidRPr="00172C96">
              <w:rPr>
                <w:rFonts w:ascii="Arial" w:hAnsi="Arial" w:cs="Arial"/>
                <w:bCs/>
              </w:rPr>
              <w:t xml:space="preserve">compared to last year </w:t>
            </w:r>
            <w:r w:rsidR="00E17C3A">
              <w:rPr>
                <w:rFonts w:ascii="Arial" w:hAnsi="Arial" w:cs="Arial"/>
                <w:bCs/>
              </w:rPr>
              <w:t>where it</w:t>
            </w:r>
            <w:r w:rsidR="00E17C3A" w:rsidRPr="00172C96">
              <w:rPr>
                <w:rFonts w:ascii="Arial" w:hAnsi="Arial" w:cs="Arial"/>
                <w:bCs/>
              </w:rPr>
              <w:t xml:space="preserve"> </w:t>
            </w:r>
            <w:r w:rsidR="00733144" w:rsidRPr="00172C96">
              <w:rPr>
                <w:rFonts w:ascii="Arial" w:hAnsi="Arial" w:cs="Arial"/>
                <w:bCs/>
              </w:rPr>
              <w:t xml:space="preserve">was </w:t>
            </w:r>
            <w:r w:rsidR="00090912" w:rsidRPr="005F4903">
              <w:rPr>
                <w:rFonts w:ascii="Arial" w:hAnsi="Arial" w:cs="Arial"/>
                <w:b/>
              </w:rPr>
              <w:t>1.6</w:t>
            </w:r>
            <w:r w:rsidR="005F4903" w:rsidRPr="005F4903">
              <w:rPr>
                <w:rFonts w:ascii="Arial" w:hAnsi="Arial" w:cs="Arial"/>
                <w:b/>
              </w:rPr>
              <w:t>8</w:t>
            </w:r>
            <w:r w:rsidR="00733144" w:rsidRPr="005F4903">
              <w:rPr>
                <w:rFonts w:ascii="Arial" w:hAnsi="Arial" w:cs="Arial"/>
                <w:b/>
              </w:rPr>
              <w:t>x</w:t>
            </w:r>
            <w:r w:rsidR="00733144" w:rsidRPr="005F4903">
              <w:rPr>
                <w:rFonts w:ascii="Arial" w:hAnsi="Arial" w:cs="Arial"/>
                <w:bCs/>
              </w:rPr>
              <w:t xml:space="preserve"> </w:t>
            </w:r>
            <w:r w:rsidR="00733144" w:rsidRPr="00172C96">
              <w:rPr>
                <w:rFonts w:ascii="Arial" w:hAnsi="Arial" w:cs="Arial"/>
                <w:bCs/>
              </w:rPr>
              <w:t>more likely for white candidates to be appointed from shortlisting than BAME candidates</w:t>
            </w:r>
            <w:r w:rsidR="00CE26F9">
              <w:rPr>
                <w:rFonts w:ascii="Arial" w:hAnsi="Arial" w:cs="Arial"/>
                <w:bCs/>
              </w:rPr>
              <w:t>.</w:t>
            </w:r>
          </w:p>
          <w:p w14:paraId="14E8D1B7" w14:textId="77777777" w:rsidR="007B472F" w:rsidRPr="00172C96" w:rsidRDefault="007B472F" w:rsidP="007B472F">
            <w:pPr>
              <w:pStyle w:val="ListParagraph"/>
              <w:ind w:left="1800"/>
              <w:rPr>
                <w:rFonts w:ascii="Arial" w:hAnsi="Arial" w:cs="Arial"/>
                <w:b/>
                <w:u w:val="single"/>
              </w:rPr>
            </w:pPr>
          </w:p>
          <w:p w14:paraId="2C0FE6CE" w14:textId="07FE56BB" w:rsidR="00570C0E" w:rsidRPr="00CE26F9" w:rsidRDefault="00B04CA4" w:rsidP="003C4CF5">
            <w:pPr>
              <w:pStyle w:val="ListParagraph"/>
              <w:numPr>
                <w:ilvl w:val="0"/>
                <w:numId w:val="24"/>
              </w:numPr>
              <w:rPr>
                <w:rFonts w:ascii="Arial" w:hAnsi="Arial" w:cs="Arial"/>
                <w:bCs/>
                <w:color w:val="FF0000"/>
                <w:u w:val="single"/>
              </w:rPr>
            </w:pPr>
            <w:r w:rsidRPr="00CE26F9">
              <w:rPr>
                <w:rFonts w:ascii="Arial" w:hAnsi="Arial" w:cs="Arial"/>
                <w:b/>
              </w:rPr>
              <w:t>WRES staff survey indicator</w:t>
            </w:r>
            <w:r w:rsidR="00733144" w:rsidRPr="00CE26F9">
              <w:rPr>
                <w:rFonts w:ascii="Arial" w:hAnsi="Arial" w:cs="Arial"/>
                <w:b/>
              </w:rPr>
              <w:t xml:space="preserve"> 5 </w:t>
            </w:r>
            <w:r w:rsidR="00644099" w:rsidRPr="00CE26F9">
              <w:rPr>
                <w:rFonts w:ascii="Arial" w:hAnsi="Arial" w:cs="Arial"/>
                <w:b/>
              </w:rPr>
              <w:t>–</w:t>
            </w:r>
            <w:r w:rsidR="00733144" w:rsidRPr="00CE26F9">
              <w:rPr>
                <w:rFonts w:ascii="Arial" w:hAnsi="Arial" w:cs="Arial"/>
                <w:b/>
              </w:rPr>
              <w:t xml:space="preserve"> </w:t>
            </w:r>
            <w:r w:rsidR="00644099" w:rsidRPr="00CE26F9">
              <w:rPr>
                <w:rFonts w:ascii="Arial" w:hAnsi="Arial" w:cs="Arial"/>
                <w:b/>
              </w:rPr>
              <w:t>3</w:t>
            </w:r>
            <w:r w:rsidR="007B472F" w:rsidRPr="00CE26F9">
              <w:rPr>
                <w:rFonts w:ascii="Arial" w:hAnsi="Arial" w:cs="Arial"/>
                <w:b/>
              </w:rPr>
              <w:t>2.</w:t>
            </w:r>
            <w:r w:rsidR="005F4903" w:rsidRPr="00CE26F9">
              <w:rPr>
                <w:rFonts w:ascii="Arial" w:hAnsi="Arial" w:cs="Arial"/>
                <w:b/>
              </w:rPr>
              <w:t>3</w:t>
            </w:r>
            <w:r w:rsidR="00644099" w:rsidRPr="00CE26F9">
              <w:rPr>
                <w:rFonts w:ascii="Arial" w:hAnsi="Arial" w:cs="Arial"/>
                <w:b/>
              </w:rPr>
              <w:t>%</w:t>
            </w:r>
            <w:r w:rsidR="00644099" w:rsidRPr="00CE26F9">
              <w:rPr>
                <w:rFonts w:ascii="Arial" w:hAnsi="Arial" w:cs="Arial"/>
                <w:b/>
                <w:color w:val="FFC000"/>
              </w:rPr>
              <w:t xml:space="preserve"> </w:t>
            </w:r>
            <w:r w:rsidR="00644099" w:rsidRPr="00CE26F9">
              <w:rPr>
                <w:rFonts w:ascii="Arial" w:hAnsi="Arial" w:cs="Arial"/>
                <w:bCs/>
              </w:rPr>
              <w:t>of B</w:t>
            </w:r>
            <w:r w:rsidR="00570C0E" w:rsidRPr="00CE26F9">
              <w:rPr>
                <w:rFonts w:ascii="Arial" w:hAnsi="Arial" w:cs="Arial"/>
                <w:bCs/>
              </w:rPr>
              <w:t>A</w:t>
            </w:r>
            <w:r w:rsidR="00644099" w:rsidRPr="00CE26F9">
              <w:rPr>
                <w:rFonts w:ascii="Arial" w:hAnsi="Arial" w:cs="Arial"/>
                <w:bCs/>
              </w:rPr>
              <w:t xml:space="preserve">ME staff and </w:t>
            </w:r>
            <w:r w:rsidR="007B472F" w:rsidRPr="00CE26F9">
              <w:rPr>
                <w:rFonts w:ascii="Arial" w:hAnsi="Arial" w:cs="Arial"/>
                <w:b/>
              </w:rPr>
              <w:t>26</w:t>
            </w:r>
            <w:r w:rsidR="00644099" w:rsidRPr="00CE26F9">
              <w:rPr>
                <w:rFonts w:ascii="Arial" w:hAnsi="Arial" w:cs="Arial"/>
                <w:b/>
              </w:rPr>
              <w:t>.</w:t>
            </w:r>
            <w:r w:rsidR="007B472F" w:rsidRPr="00CE26F9">
              <w:rPr>
                <w:rFonts w:ascii="Arial" w:hAnsi="Arial" w:cs="Arial"/>
                <w:b/>
              </w:rPr>
              <w:t>9</w:t>
            </w:r>
            <w:r w:rsidR="00644099" w:rsidRPr="00CE26F9">
              <w:rPr>
                <w:rFonts w:ascii="Arial" w:hAnsi="Arial" w:cs="Arial"/>
                <w:b/>
              </w:rPr>
              <w:t>%</w:t>
            </w:r>
            <w:r w:rsidR="00644099" w:rsidRPr="00CE26F9">
              <w:rPr>
                <w:rFonts w:ascii="Arial" w:hAnsi="Arial" w:cs="Arial"/>
                <w:bCs/>
              </w:rPr>
              <w:t xml:space="preserve"> of White staff have reported </w:t>
            </w:r>
            <w:r w:rsidR="00EE4379" w:rsidRPr="00CE26F9">
              <w:rPr>
                <w:rFonts w:ascii="Arial" w:hAnsi="Arial" w:cs="Arial"/>
                <w:bCs/>
              </w:rPr>
              <w:t xml:space="preserve">to the organisation </w:t>
            </w:r>
            <w:r w:rsidR="00644099" w:rsidRPr="00CE26F9">
              <w:rPr>
                <w:rFonts w:ascii="Arial" w:hAnsi="Arial" w:cs="Arial"/>
                <w:bCs/>
              </w:rPr>
              <w:t xml:space="preserve">that they have experienced harassment, bullying or abuse from patients, relatives or the public in the last 12 months. </w:t>
            </w:r>
            <w:r w:rsidR="007B472F" w:rsidRPr="00CE26F9">
              <w:rPr>
                <w:rFonts w:ascii="Arial" w:hAnsi="Arial" w:cs="Arial"/>
                <w:bCs/>
              </w:rPr>
              <w:t xml:space="preserve">This has improved compared to last year </w:t>
            </w:r>
            <w:r w:rsidR="00172C96" w:rsidRPr="00CE26F9">
              <w:rPr>
                <w:rFonts w:ascii="Arial" w:hAnsi="Arial" w:cs="Arial"/>
                <w:bCs/>
              </w:rPr>
              <w:t>where</w:t>
            </w:r>
            <w:r w:rsidR="007B472F" w:rsidRPr="00CE26F9">
              <w:rPr>
                <w:rFonts w:ascii="Arial" w:hAnsi="Arial" w:cs="Arial"/>
                <w:bCs/>
              </w:rPr>
              <w:t xml:space="preserve"> </w:t>
            </w:r>
            <w:r w:rsidR="00AE659F" w:rsidRPr="00CE26F9">
              <w:rPr>
                <w:rFonts w:ascii="Arial" w:hAnsi="Arial" w:cs="Arial"/>
                <w:b/>
              </w:rPr>
              <w:t>3</w:t>
            </w:r>
            <w:r w:rsidR="007B472F" w:rsidRPr="00CE26F9">
              <w:rPr>
                <w:rFonts w:ascii="Arial" w:hAnsi="Arial" w:cs="Arial"/>
                <w:b/>
              </w:rPr>
              <w:t>6.6</w:t>
            </w:r>
            <w:r w:rsidR="00AE659F" w:rsidRPr="00CE26F9">
              <w:rPr>
                <w:rFonts w:ascii="Arial" w:hAnsi="Arial" w:cs="Arial"/>
                <w:b/>
              </w:rPr>
              <w:t>%</w:t>
            </w:r>
            <w:r w:rsidR="00644099" w:rsidRPr="00CE26F9">
              <w:rPr>
                <w:rFonts w:ascii="Arial" w:hAnsi="Arial" w:cs="Arial"/>
                <w:bCs/>
              </w:rPr>
              <w:t xml:space="preserve"> of BME and </w:t>
            </w:r>
            <w:r w:rsidR="00AE659F" w:rsidRPr="00CE26F9">
              <w:rPr>
                <w:rFonts w:ascii="Arial" w:hAnsi="Arial" w:cs="Arial"/>
                <w:b/>
              </w:rPr>
              <w:t>3</w:t>
            </w:r>
            <w:r w:rsidR="007B472F" w:rsidRPr="00CE26F9">
              <w:rPr>
                <w:rFonts w:ascii="Arial" w:hAnsi="Arial" w:cs="Arial"/>
                <w:b/>
              </w:rPr>
              <w:t>3.5</w:t>
            </w:r>
            <w:r w:rsidR="00AE659F" w:rsidRPr="00CE26F9">
              <w:rPr>
                <w:rFonts w:ascii="Arial" w:hAnsi="Arial" w:cs="Arial"/>
                <w:b/>
              </w:rPr>
              <w:t>%</w:t>
            </w:r>
            <w:r w:rsidR="00AE659F" w:rsidRPr="00CE26F9">
              <w:rPr>
                <w:rFonts w:ascii="Arial" w:hAnsi="Arial" w:cs="Arial"/>
                <w:bCs/>
              </w:rPr>
              <w:t xml:space="preserve"> of </w:t>
            </w:r>
            <w:r w:rsidR="00644099" w:rsidRPr="00CE26F9">
              <w:rPr>
                <w:rFonts w:ascii="Arial" w:hAnsi="Arial" w:cs="Arial"/>
                <w:bCs/>
              </w:rPr>
              <w:t xml:space="preserve">White staff </w:t>
            </w:r>
            <w:r w:rsidR="00172C96" w:rsidRPr="00CE26F9">
              <w:rPr>
                <w:rFonts w:ascii="Arial" w:hAnsi="Arial" w:cs="Arial"/>
                <w:bCs/>
              </w:rPr>
              <w:t>experienced</w:t>
            </w:r>
            <w:r w:rsidR="00644099" w:rsidRPr="00CE26F9">
              <w:rPr>
                <w:rFonts w:ascii="Arial" w:hAnsi="Arial" w:cs="Arial"/>
                <w:bCs/>
              </w:rPr>
              <w:t xml:space="preserve"> such behaviours from patients or service users</w:t>
            </w:r>
            <w:r w:rsidR="00444F70" w:rsidRPr="00CE26F9">
              <w:rPr>
                <w:rFonts w:ascii="Arial" w:hAnsi="Arial" w:cs="Arial"/>
                <w:bCs/>
              </w:rPr>
              <w:t xml:space="preserve">. </w:t>
            </w:r>
            <w:r w:rsidR="00CE26F9">
              <w:rPr>
                <w:rFonts w:ascii="Arial" w:hAnsi="Arial" w:cs="Arial"/>
                <w:bCs/>
              </w:rPr>
              <w:t xml:space="preserve">This seems to indicate some beneficial impact from the “No </w:t>
            </w:r>
            <w:proofErr w:type="spellStart"/>
            <w:r w:rsidR="00CE26F9">
              <w:rPr>
                <w:rFonts w:ascii="Arial" w:hAnsi="Arial" w:cs="Arial"/>
                <w:bCs/>
              </w:rPr>
              <w:t>Execuse</w:t>
            </w:r>
            <w:proofErr w:type="spellEnd"/>
            <w:r w:rsidR="00CE26F9">
              <w:rPr>
                <w:rFonts w:ascii="Arial" w:hAnsi="Arial" w:cs="Arial"/>
                <w:bCs/>
              </w:rPr>
              <w:t xml:space="preserve"> for Abuse” campaign, run with Norfolk Constabulary, which outlines the custodial </w:t>
            </w:r>
            <w:proofErr w:type="spellStart"/>
            <w:r w:rsidR="00CE26F9">
              <w:rPr>
                <w:rFonts w:ascii="Arial" w:hAnsi="Arial" w:cs="Arial"/>
                <w:bCs/>
              </w:rPr>
              <w:t>sentances</w:t>
            </w:r>
            <w:proofErr w:type="spellEnd"/>
            <w:r w:rsidR="00CE26F9">
              <w:rPr>
                <w:rFonts w:ascii="Arial" w:hAnsi="Arial" w:cs="Arial"/>
                <w:bCs/>
              </w:rPr>
              <w:t xml:space="preserve"> which can apply and the “Withdrawal of Treatment Protocol”, for patients who persistently abuse staff providing them with care.</w:t>
            </w:r>
            <w:r w:rsidR="00444F70" w:rsidRPr="00CE26F9">
              <w:rPr>
                <w:rFonts w:ascii="Arial" w:hAnsi="Arial" w:cs="Arial"/>
                <w:bCs/>
              </w:rPr>
              <w:t xml:space="preserve"> </w:t>
            </w:r>
          </w:p>
          <w:p w14:paraId="3BC59FCE" w14:textId="77777777" w:rsidR="00CE26F9" w:rsidRPr="00CE26F9" w:rsidRDefault="00CE26F9" w:rsidP="00CE26F9">
            <w:pPr>
              <w:rPr>
                <w:rFonts w:ascii="Arial" w:hAnsi="Arial" w:cs="Arial"/>
                <w:bCs/>
                <w:color w:val="FF0000"/>
                <w:u w:val="single"/>
              </w:rPr>
            </w:pPr>
          </w:p>
          <w:p w14:paraId="791626FA" w14:textId="4A05D502" w:rsidR="00B04CA4" w:rsidRPr="00461E32" w:rsidRDefault="00AE659F" w:rsidP="00461E32">
            <w:pPr>
              <w:pStyle w:val="ListParagraph"/>
              <w:numPr>
                <w:ilvl w:val="0"/>
                <w:numId w:val="24"/>
              </w:numPr>
              <w:rPr>
                <w:rFonts w:ascii="Arial" w:hAnsi="Arial" w:cs="Arial"/>
                <w:u w:val="single"/>
              </w:rPr>
            </w:pPr>
            <w:r w:rsidRPr="00461E32">
              <w:rPr>
                <w:rFonts w:ascii="Arial" w:hAnsi="Arial" w:cs="Arial"/>
                <w:b/>
                <w:bCs/>
              </w:rPr>
              <w:t>WRES staff survey indicator 7 –</w:t>
            </w:r>
            <w:r w:rsidR="00461E32" w:rsidRPr="00461E32">
              <w:rPr>
                <w:rFonts w:ascii="Arial" w:hAnsi="Arial" w:cs="Arial"/>
                <w:b/>
                <w:bCs/>
              </w:rPr>
              <w:t xml:space="preserve"> </w:t>
            </w:r>
            <w:r w:rsidR="00461E32" w:rsidRPr="005F4903">
              <w:rPr>
                <w:rFonts w:ascii="Arial" w:hAnsi="Arial" w:cs="Arial"/>
                <w:b/>
                <w:bCs/>
              </w:rPr>
              <w:t xml:space="preserve">49.2% </w:t>
            </w:r>
            <w:r w:rsidR="00461E32" w:rsidRPr="005F4903">
              <w:rPr>
                <w:rFonts w:ascii="Arial" w:hAnsi="Arial" w:cs="Arial"/>
              </w:rPr>
              <w:t>of BME staff</w:t>
            </w:r>
            <w:r w:rsidR="00461E32" w:rsidRPr="005F4903">
              <w:rPr>
                <w:rFonts w:ascii="Arial" w:hAnsi="Arial" w:cs="Arial"/>
                <w:b/>
                <w:bCs/>
              </w:rPr>
              <w:t xml:space="preserve"> </w:t>
            </w:r>
            <w:r w:rsidR="00461E32" w:rsidRPr="005F4903">
              <w:rPr>
                <w:rFonts w:ascii="Arial" w:hAnsi="Arial" w:cs="Arial"/>
              </w:rPr>
              <w:t>and</w:t>
            </w:r>
            <w:r w:rsidR="00461E32" w:rsidRPr="005F4903">
              <w:rPr>
                <w:rFonts w:ascii="Arial" w:hAnsi="Arial" w:cs="Arial"/>
                <w:b/>
                <w:bCs/>
              </w:rPr>
              <w:t xml:space="preserve"> 54.3% </w:t>
            </w:r>
            <w:r w:rsidR="00461E32" w:rsidRPr="005F4903">
              <w:rPr>
                <w:rFonts w:ascii="Arial" w:hAnsi="Arial" w:cs="Arial"/>
              </w:rPr>
              <w:t xml:space="preserve">of </w:t>
            </w:r>
            <w:r w:rsidR="00461E32" w:rsidRPr="00461E32">
              <w:rPr>
                <w:rFonts w:ascii="Arial" w:hAnsi="Arial" w:cs="Arial"/>
              </w:rPr>
              <w:t>white staff</w:t>
            </w:r>
            <w:r w:rsidR="00461E32" w:rsidRPr="00461E32">
              <w:rPr>
                <w:rFonts w:ascii="Arial" w:hAnsi="Arial" w:cs="Arial"/>
                <w:b/>
                <w:bCs/>
              </w:rPr>
              <w:t xml:space="preserve"> </w:t>
            </w:r>
            <w:r w:rsidR="00461E32" w:rsidRPr="00461E32">
              <w:rPr>
                <w:rFonts w:ascii="Arial" w:hAnsi="Arial" w:cs="Arial"/>
              </w:rPr>
              <w:t xml:space="preserve">have reported that they believe the Trust provides equal opportunities for career progression or promotion. This has improved significantly for our BME colleagues compared to last year </w:t>
            </w:r>
            <w:r w:rsidR="00FF4825" w:rsidRPr="00F7393B">
              <w:rPr>
                <w:rFonts w:ascii="Arial" w:hAnsi="Arial" w:cs="Arial"/>
              </w:rPr>
              <w:t>(meeting the 10% improvement target that we had set out in our WRES action plan for 2025)</w:t>
            </w:r>
            <w:r w:rsidR="00CE26F9">
              <w:rPr>
                <w:rFonts w:ascii="Arial" w:hAnsi="Arial" w:cs="Arial"/>
              </w:rPr>
              <w:t>. However, it has remained</w:t>
            </w:r>
            <w:r w:rsidR="00461E32" w:rsidRPr="00461E32">
              <w:rPr>
                <w:rFonts w:ascii="Arial" w:hAnsi="Arial" w:cs="Arial"/>
              </w:rPr>
              <w:t xml:space="preserve"> relatively static for our white staff members. </w:t>
            </w:r>
            <w:r w:rsidR="00CE26F9">
              <w:rPr>
                <w:rFonts w:ascii="Arial" w:hAnsi="Arial" w:cs="Arial"/>
              </w:rPr>
              <w:t xml:space="preserve">The NNUH is now </w:t>
            </w:r>
            <w:r w:rsidR="00461E32" w:rsidRPr="00461E32">
              <w:rPr>
                <w:rFonts w:ascii="Arial" w:hAnsi="Arial" w:cs="Arial"/>
              </w:rPr>
              <w:t xml:space="preserve">above </w:t>
            </w:r>
            <w:r w:rsidR="00470A9B" w:rsidRPr="00461E32">
              <w:rPr>
                <w:rFonts w:ascii="Arial" w:hAnsi="Arial" w:cs="Arial"/>
              </w:rPr>
              <w:t xml:space="preserve">the benchmark median </w:t>
            </w:r>
            <w:r w:rsidR="00EE4379">
              <w:rPr>
                <w:rFonts w:ascii="Arial" w:hAnsi="Arial" w:cs="Arial"/>
              </w:rPr>
              <w:t xml:space="preserve">for Acute Trusts </w:t>
            </w:r>
            <w:r w:rsidR="00470A9B" w:rsidRPr="00461E32">
              <w:rPr>
                <w:rFonts w:ascii="Arial" w:hAnsi="Arial" w:cs="Arial"/>
              </w:rPr>
              <w:t>which is</w:t>
            </w:r>
            <w:r w:rsidR="00470A9B" w:rsidRPr="00461E32">
              <w:rPr>
                <w:rFonts w:ascii="Arial" w:hAnsi="Arial" w:cs="Arial"/>
                <w:b/>
                <w:bCs/>
              </w:rPr>
              <w:t xml:space="preserve"> 47.0%</w:t>
            </w:r>
            <w:r w:rsidR="00865000">
              <w:rPr>
                <w:rFonts w:ascii="Arial" w:hAnsi="Arial" w:cs="Arial"/>
                <w:b/>
                <w:bCs/>
              </w:rPr>
              <w:t>.</w:t>
            </w:r>
          </w:p>
          <w:p w14:paraId="61E24339" w14:textId="77777777" w:rsidR="00B04CA4" w:rsidRDefault="00B04CA4" w:rsidP="00B04CA4">
            <w:pPr>
              <w:tabs>
                <w:tab w:val="left" w:pos="459"/>
                <w:tab w:val="left" w:pos="743"/>
              </w:tabs>
              <w:rPr>
                <w:rFonts w:ascii="Arial" w:hAnsi="Arial" w:cs="Arial"/>
                <w:b/>
              </w:rPr>
            </w:pPr>
          </w:p>
          <w:p w14:paraId="4039CC08" w14:textId="77777777" w:rsidR="00461E32" w:rsidRDefault="00461E32" w:rsidP="00B04CA4">
            <w:pPr>
              <w:pStyle w:val="ListParagraph"/>
              <w:numPr>
                <w:ilvl w:val="1"/>
                <w:numId w:val="8"/>
              </w:numPr>
              <w:tabs>
                <w:tab w:val="left" w:pos="459"/>
                <w:tab w:val="left" w:pos="743"/>
              </w:tabs>
              <w:rPr>
                <w:rFonts w:ascii="Arial" w:hAnsi="Arial" w:cs="Arial"/>
                <w:bCs/>
              </w:rPr>
            </w:pPr>
            <w:r>
              <w:rPr>
                <w:rFonts w:ascii="Arial" w:hAnsi="Arial" w:cs="Arial"/>
                <w:bCs/>
              </w:rPr>
              <w:t xml:space="preserve">The above indicators are very positive compared to our results last year but still contain some areas of concern. However, there are other </w:t>
            </w:r>
          </w:p>
          <w:p w14:paraId="04551F15" w14:textId="77777777" w:rsidR="006E6440" w:rsidRDefault="00B04CA4">
            <w:pPr>
              <w:tabs>
                <w:tab w:val="left" w:pos="459"/>
                <w:tab w:val="left" w:pos="743"/>
              </w:tabs>
              <w:ind w:left="360"/>
              <w:rPr>
                <w:rFonts w:ascii="Arial" w:hAnsi="Arial" w:cs="Arial"/>
                <w:bCs/>
              </w:rPr>
            </w:pPr>
            <w:r w:rsidRPr="00461E32">
              <w:rPr>
                <w:rFonts w:ascii="Arial" w:hAnsi="Arial" w:cs="Arial"/>
                <w:bCs/>
              </w:rPr>
              <w:t xml:space="preserve">indicators </w:t>
            </w:r>
            <w:r w:rsidR="00EE4379">
              <w:rPr>
                <w:rFonts w:ascii="Arial" w:hAnsi="Arial" w:cs="Arial"/>
                <w:bCs/>
              </w:rPr>
              <w:t>showing improvement which are:</w:t>
            </w:r>
            <w:r w:rsidRPr="00B04CA4">
              <w:rPr>
                <w:rFonts w:ascii="Arial" w:hAnsi="Arial" w:cs="Arial"/>
                <w:bCs/>
              </w:rPr>
              <w:t xml:space="preserve"> </w:t>
            </w:r>
          </w:p>
          <w:p w14:paraId="509629BE" w14:textId="77777777" w:rsidR="004801EC" w:rsidRPr="006E6440" w:rsidRDefault="004801EC" w:rsidP="004801EC">
            <w:pPr>
              <w:tabs>
                <w:tab w:val="left" w:pos="459"/>
                <w:tab w:val="left" w:pos="743"/>
              </w:tabs>
              <w:ind w:left="360"/>
              <w:rPr>
                <w:rFonts w:ascii="Arial" w:hAnsi="Arial" w:cs="Arial"/>
                <w:bCs/>
              </w:rPr>
            </w:pPr>
          </w:p>
          <w:p w14:paraId="2BCC31F2" w14:textId="45E8EE5D" w:rsidR="005F4903" w:rsidRPr="005F4903" w:rsidRDefault="0076602F" w:rsidP="005F4903">
            <w:pPr>
              <w:pStyle w:val="ListParagraph"/>
              <w:numPr>
                <w:ilvl w:val="0"/>
                <w:numId w:val="25"/>
              </w:numPr>
              <w:tabs>
                <w:tab w:val="left" w:pos="459"/>
                <w:tab w:val="left" w:pos="743"/>
              </w:tabs>
              <w:rPr>
                <w:rFonts w:ascii="Arial" w:hAnsi="Arial" w:cs="Arial"/>
                <w:b/>
              </w:rPr>
            </w:pPr>
            <w:r w:rsidRPr="005F4903">
              <w:rPr>
                <w:rFonts w:ascii="Arial" w:hAnsi="Arial" w:cs="Arial"/>
                <w:b/>
              </w:rPr>
              <w:t xml:space="preserve">WRES </w:t>
            </w:r>
            <w:r w:rsidR="008512FA" w:rsidRPr="005F4903">
              <w:rPr>
                <w:rFonts w:ascii="Arial" w:hAnsi="Arial" w:cs="Arial"/>
                <w:b/>
              </w:rPr>
              <w:t xml:space="preserve">Indicator 1 </w:t>
            </w:r>
            <w:r w:rsidR="00B71872" w:rsidRPr="005F4903">
              <w:rPr>
                <w:rFonts w:ascii="Arial" w:hAnsi="Arial" w:cs="Arial"/>
                <w:b/>
              </w:rPr>
              <w:t>– 18.1%</w:t>
            </w:r>
            <w:r w:rsidR="008512FA" w:rsidRPr="005F4903">
              <w:rPr>
                <w:rFonts w:ascii="Arial" w:hAnsi="Arial" w:cs="Arial"/>
                <w:b/>
              </w:rPr>
              <w:t xml:space="preserve"> </w:t>
            </w:r>
            <w:r w:rsidR="008512FA" w:rsidRPr="005F4903">
              <w:rPr>
                <w:rFonts w:ascii="Arial" w:hAnsi="Arial" w:cs="Arial"/>
                <w:bCs/>
              </w:rPr>
              <w:t xml:space="preserve">of our </w:t>
            </w:r>
            <w:r w:rsidR="00EE4379" w:rsidRPr="005F4903">
              <w:rPr>
                <w:rFonts w:ascii="Arial" w:hAnsi="Arial" w:cs="Arial"/>
                <w:bCs/>
              </w:rPr>
              <w:t xml:space="preserve">overall </w:t>
            </w:r>
            <w:r w:rsidR="008512FA" w:rsidRPr="005F4903">
              <w:rPr>
                <w:rFonts w:ascii="Arial" w:hAnsi="Arial" w:cs="Arial"/>
                <w:bCs/>
              </w:rPr>
              <w:t xml:space="preserve">workforce </w:t>
            </w:r>
            <w:r w:rsidR="00A827AC" w:rsidRPr="005F4903">
              <w:rPr>
                <w:rFonts w:ascii="Arial" w:hAnsi="Arial" w:cs="Arial"/>
                <w:bCs/>
              </w:rPr>
              <w:t>are from a Black, Asian or ethnic minority background</w:t>
            </w:r>
            <w:r w:rsidR="00865000">
              <w:rPr>
                <w:rFonts w:ascii="Arial" w:hAnsi="Arial" w:cs="Arial"/>
                <w:bCs/>
              </w:rPr>
              <w:t>.  The overall Trust total workforce increased by 5%, of which the BAME workforce increased by 3%</w:t>
            </w:r>
            <w:r w:rsidR="00CE26F9">
              <w:rPr>
                <w:rFonts w:ascii="Arial" w:hAnsi="Arial" w:cs="Arial"/>
                <w:bCs/>
              </w:rPr>
              <w:t>,</w:t>
            </w:r>
            <w:r w:rsidR="00865000">
              <w:rPr>
                <w:rFonts w:ascii="Arial" w:hAnsi="Arial" w:cs="Arial"/>
                <w:bCs/>
              </w:rPr>
              <w:t xml:space="preserve"> with </w:t>
            </w:r>
            <w:r w:rsidR="00A827AC" w:rsidRPr="005F4903">
              <w:rPr>
                <w:rFonts w:ascii="Arial" w:hAnsi="Arial" w:cs="Arial"/>
                <w:bCs/>
              </w:rPr>
              <w:t xml:space="preserve">BAME representation </w:t>
            </w:r>
            <w:r w:rsidR="00CE26F9">
              <w:rPr>
                <w:rFonts w:ascii="Arial" w:hAnsi="Arial" w:cs="Arial"/>
                <w:bCs/>
              </w:rPr>
              <w:t>showing</w:t>
            </w:r>
            <w:r w:rsidR="00A827AC" w:rsidRPr="005F4903">
              <w:rPr>
                <w:rFonts w:ascii="Arial" w:hAnsi="Arial" w:cs="Arial"/>
                <w:bCs/>
              </w:rPr>
              <w:t xml:space="preserve"> year</w:t>
            </w:r>
            <w:r w:rsidR="00CE26F9">
              <w:rPr>
                <w:rFonts w:ascii="Arial" w:hAnsi="Arial" w:cs="Arial"/>
                <w:bCs/>
              </w:rPr>
              <w:t>-</w:t>
            </w:r>
            <w:r w:rsidR="00A827AC" w:rsidRPr="005F4903">
              <w:rPr>
                <w:rFonts w:ascii="Arial" w:hAnsi="Arial" w:cs="Arial"/>
                <w:bCs/>
              </w:rPr>
              <w:t>on</w:t>
            </w:r>
            <w:r w:rsidR="00CE26F9">
              <w:rPr>
                <w:rFonts w:ascii="Arial" w:hAnsi="Arial" w:cs="Arial"/>
                <w:bCs/>
              </w:rPr>
              <w:t>-</w:t>
            </w:r>
            <w:r w:rsidR="00A827AC" w:rsidRPr="005F4903">
              <w:rPr>
                <w:rFonts w:ascii="Arial" w:hAnsi="Arial" w:cs="Arial"/>
                <w:bCs/>
              </w:rPr>
              <w:t xml:space="preserve">year </w:t>
            </w:r>
            <w:r w:rsidR="00CE26F9">
              <w:rPr>
                <w:rFonts w:ascii="Arial" w:hAnsi="Arial" w:cs="Arial"/>
                <w:bCs/>
              </w:rPr>
              <w:t xml:space="preserve">improvement </w:t>
            </w:r>
            <w:r w:rsidR="00A827AC" w:rsidRPr="005F4903">
              <w:rPr>
                <w:rFonts w:ascii="Arial" w:hAnsi="Arial" w:cs="Arial"/>
                <w:bCs/>
              </w:rPr>
              <w:t>within senior non-clinical roles.</w:t>
            </w:r>
            <w:r w:rsidR="00A827AC" w:rsidRPr="005F4903">
              <w:rPr>
                <w:rFonts w:ascii="Arial" w:hAnsi="Arial" w:cs="Arial"/>
                <w:b/>
              </w:rPr>
              <w:t xml:space="preserve"> </w:t>
            </w:r>
          </w:p>
          <w:p w14:paraId="53A4D52C" w14:textId="77777777" w:rsidR="005F4903" w:rsidRPr="005F4903" w:rsidRDefault="005F4903" w:rsidP="005F4903">
            <w:pPr>
              <w:pStyle w:val="ListParagraph"/>
              <w:tabs>
                <w:tab w:val="left" w:pos="459"/>
                <w:tab w:val="left" w:pos="743"/>
              </w:tabs>
              <w:ind w:left="1800"/>
              <w:rPr>
                <w:rFonts w:ascii="Arial" w:hAnsi="Arial" w:cs="Arial"/>
                <w:b/>
              </w:rPr>
            </w:pPr>
          </w:p>
          <w:p w14:paraId="7592E507" w14:textId="448C7AF5" w:rsidR="005F4903" w:rsidRPr="005F4903" w:rsidRDefault="00A827AC" w:rsidP="005F4903">
            <w:pPr>
              <w:pStyle w:val="ListParagraph"/>
              <w:numPr>
                <w:ilvl w:val="0"/>
                <w:numId w:val="25"/>
              </w:numPr>
              <w:tabs>
                <w:tab w:val="left" w:pos="459"/>
                <w:tab w:val="left" w:pos="743"/>
              </w:tabs>
              <w:rPr>
                <w:rFonts w:ascii="Arial" w:hAnsi="Arial" w:cs="Arial"/>
                <w:b/>
              </w:rPr>
            </w:pPr>
            <w:r w:rsidRPr="005F4903">
              <w:rPr>
                <w:rFonts w:ascii="Arial" w:hAnsi="Arial" w:cs="Arial"/>
                <w:b/>
              </w:rPr>
              <w:t xml:space="preserve">WRES staff survey indicator 8 </w:t>
            </w:r>
            <w:r w:rsidR="00446346" w:rsidRPr="005F4903">
              <w:rPr>
                <w:rFonts w:ascii="Arial" w:hAnsi="Arial" w:cs="Arial"/>
                <w:b/>
              </w:rPr>
              <w:t>–</w:t>
            </w:r>
            <w:r w:rsidRPr="005F4903">
              <w:rPr>
                <w:rFonts w:ascii="Arial" w:hAnsi="Arial" w:cs="Arial"/>
                <w:b/>
              </w:rPr>
              <w:t xml:space="preserve"> </w:t>
            </w:r>
            <w:r w:rsidR="00446346" w:rsidRPr="005F4903">
              <w:rPr>
                <w:rFonts w:ascii="Arial" w:hAnsi="Arial" w:cs="Arial"/>
                <w:bCs/>
              </w:rPr>
              <w:t>the percentage</w:t>
            </w:r>
            <w:r w:rsidRPr="005F4903">
              <w:rPr>
                <w:rFonts w:ascii="Arial" w:hAnsi="Arial" w:cs="Arial"/>
                <w:bCs/>
              </w:rPr>
              <w:t xml:space="preserve"> </w:t>
            </w:r>
            <w:r w:rsidR="002920A2" w:rsidRPr="005F4903">
              <w:rPr>
                <w:rFonts w:ascii="Arial" w:hAnsi="Arial" w:cs="Arial"/>
                <w:bCs/>
              </w:rPr>
              <w:t xml:space="preserve">of </w:t>
            </w:r>
            <w:r w:rsidRPr="005F4903">
              <w:rPr>
                <w:rFonts w:ascii="Arial" w:hAnsi="Arial" w:cs="Arial"/>
                <w:bCs/>
              </w:rPr>
              <w:t>B</w:t>
            </w:r>
            <w:r w:rsidR="002920A2" w:rsidRPr="005F4903">
              <w:rPr>
                <w:rFonts w:ascii="Arial" w:hAnsi="Arial" w:cs="Arial"/>
                <w:bCs/>
              </w:rPr>
              <w:t>A</w:t>
            </w:r>
            <w:r w:rsidRPr="005F4903">
              <w:rPr>
                <w:rFonts w:ascii="Arial" w:hAnsi="Arial" w:cs="Arial"/>
                <w:bCs/>
              </w:rPr>
              <w:t>ME colleagues experiencing discrimination at work</w:t>
            </w:r>
            <w:r w:rsidR="002920A2" w:rsidRPr="005F4903">
              <w:rPr>
                <w:rFonts w:ascii="Arial" w:hAnsi="Arial" w:cs="Arial"/>
                <w:bCs/>
              </w:rPr>
              <w:t xml:space="preserve"> from a manager, team leader or other colleague</w:t>
            </w:r>
            <w:r w:rsidRPr="005F4903">
              <w:rPr>
                <w:rFonts w:ascii="Arial" w:hAnsi="Arial" w:cs="Arial"/>
                <w:bCs/>
              </w:rPr>
              <w:t xml:space="preserve"> has decreased </w:t>
            </w:r>
            <w:r w:rsidR="00420438" w:rsidRPr="005F4903">
              <w:rPr>
                <w:rFonts w:ascii="Arial" w:hAnsi="Arial" w:cs="Arial"/>
                <w:bCs/>
              </w:rPr>
              <w:t xml:space="preserve">to </w:t>
            </w:r>
            <w:r w:rsidR="002920A2" w:rsidRPr="005F4903">
              <w:rPr>
                <w:rFonts w:ascii="Arial" w:hAnsi="Arial" w:cs="Arial"/>
                <w:b/>
              </w:rPr>
              <w:t>19.2</w:t>
            </w:r>
            <w:r w:rsidR="00420438" w:rsidRPr="005F4903">
              <w:rPr>
                <w:rFonts w:ascii="Arial" w:hAnsi="Arial" w:cs="Arial"/>
                <w:b/>
              </w:rPr>
              <w:t>%</w:t>
            </w:r>
            <w:r w:rsidR="00420438" w:rsidRPr="005F4903">
              <w:rPr>
                <w:rFonts w:ascii="Arial" w:hAnsi="Arial" w:cs="Arial"/>
                <w:bCs/>
              </w:rPr>
              <w:t xml:space="preserve"> </w:t>
            </w:r>
            <w:r w:rsidR="00446346" w:rsidRPr="005F4903">
              <w:rPr>
                <w:rFonts w:ascii="Arial" w:hAnsi="Arial" w:cs="Arial"/>
                <w:bCs/>
              </w:rPr>
              <w:t>(with the figure remaining static for white staff members)</w:t>
            </w:r>
            <w:r w:rsidR="00CE26F9">
              <w:rPr>
                <w:rFonts w:ascii="Arial" w:hAnsi="Arial" w:cs="Arial"/>
                <w:bCs/>
              </w:rPr>
              <w:t>.</w:t>
            </w:r>
            <w:r w:rsidR="00446346" w:rsidRPr="005F4903">
              <w:rPr>
                <w:rFonts w:ascii="Arial" w:hAnsi="Arial" w:cs="Arial"/>
                <w:bCs/>
              </w:rPr>
              <w:t xml:space="preserve"> </w:t>
            </w:r>
            <w:r w:rsidR="00CE26F9">
              <w:rPr>
                <w:rFonts w:ascii="Arial" w:hAnsi="Arial" w:cs="Arial"/>
                <w:bCs/>
              </w:rPr>
              <w:t>H</w:t>
            </w:r>
            <w:r w:rsidRPr="005F4903">
              <w:rPr>
                <w:rFonts w:ascii="Arial" w:hAnsi="Arial" w:cs="Arial"/>
                <w:bCs/>
              </w:rPr>
              <w:t xml:space="preserve">owever, </w:t>
            </w:r>
            <w:r w:rsidR="00446346" w:rsidRPr="005F4903">
              <w:rPr>
                <w:rFonts w:ascii="Arial" w:hAnsi="Arial" w:cs="Arial"/>
                <w:bCs/>
              </w:rPr>
              <w:t>th</w:t>
            </w:r>
            <w:r w:rsidR="00CE26F9">
              <w:rPr>
                <w:rFonts w:ascii="Arial" w:hAnsi="Arial" w:cs="Arial"/>
                <w:bCs/>
              </w:rPr>
              <w:t>is is</w:t>
            </w:r>
            <w:r w:rsidRPr="005F4903">
              <w:rPr>
                <w:rFonts w:ascii="Arial" w:hAnsi="Arial" w:cs="Arial"/>
                <w:bCs/>
              </w:rPr>
              <w:t xml:space="preserve"> still above the acute </w:t>
            </w:r>
            <w:r w:rsidR="00420438" w:rsidRPr="005F4903">
              <w:rPr>
                <w:rFonts w:ascii="Arial" w:hAnsi="Arial" w:cs="Arial"/>
                <w:bCs/>
              </w:rPr>
              <w:t xml:space="preserve">Trust </w:t>
            </w:r>
            <w:r w:rsidRPr="005F4903">
              <w:rPr>
                <w:rFonts w:ascii="Arial" w:hAnsi="Arial" w:cs="Arial"/>
                <w:bCs/>
              </w:rPr>
              <w:t>average</w:t>
            </w:r>
            <w:r w:rsidR="00420438" w:rsidRPr="005F4903">
              <w:rPr>
                <w:rFonts w:ascii="Arial" w:hAnsi="Arial" w:cs="Arial"/>
                <w:bCs/>
              </w:rPr>
              <w:t xml:space="preserve"> of </w:t>
            </w:r>
            <w:r w:rsidR="002920A2" w:rsidRPr="005F4903">
              <w:rPr>
                <w:rFonts w:ascii="Arial" w:hAnsi="Arial" w:cs="Arial"/>
                <w:bCs/>
              </w:rPr>
              <w:t>only 9.4</w:t>
            </w:r>
            <w:r w:rsidR="00420438" w:rsidRPr="005F4903">
              <w:rPr>
                <w:rFonts w:ascii="Arial" w:hAnsi="Arial" w:cs="Arial"/>
                <w:bCs/>
              </w:rPr>
              <w:t>%</w:t>
            </w:r>
            <w:r w:rsidR="005F4903">
              <w:rPr>
                <w:rFonts w:ascii="Arial" w:hAnsi="Arial" w:cs="Arial"/>
                <w:bCs/>
              </w:rPr>
              <w:t>.</w:t>
            </w:r>
          </w:p>
          <w:p w14:paraId="1F693AE6" w14:textId="77777777" w:rsidR="005F4903" w:rsidRPr="005F4903" w:rsidRDefault="005F4903" w:rsidP="005F4903">
            <w:pPr>
              <w:tabs>
                <w:tab w:val="left" w:pos="459"/>
                <w:tab w:val="left" w:pos="743"/>
              </w:tabs>
              <w:rPr>
                <w:rFonts w:ascii="Arial" w:hAnsi="Arial" w:cs="Arial"/>
                <w:b/>
              </w:rPr>
            </w:pPr>
          </w:p>
          <w:p w14:paraId="23055F0D" w14:textId="6ECD3A3B" w:rsidR="00B04CA4" w:rsidRPr="005F4903" w:rsidRDefault="00604CA2" w:rsidP="00B04CA4">
            <w:pPr>
              <w:pStyle w:val="ListParagraph"/>
              <w:numPr>
                <w:ilvl w:val="0"/>
                <w:numId w:val="25"/>
              </w:numPr>
              <w:tabs>
                <w:tab w:val="left" w:pos="459"/>
                <w:tab w:val="left" w:pos="743"/>
              </w:tabs>
              <w:rPr>
                <w:rFonts w:ascii="Arial" w:hAnsi="Arial" w:cs="Arial"/>
              </w:rPr>
            </w:pPr>
            <w:r w:rsidRPr="005F4903">
              <w:rPr>
                <w:rFonts w:ascii="Arial" w:hAnsi="Arial" w:cs="Arial"/>
                <w:b/>
              </w:rPr>
              <w:t>WRES Indicator 6 –</w:t>
            </w:r>
            <w:r w:rsidRPr="005F4903">
              <w:rPr>
                <w:rFonts w:ascii="Arial" w:hAnsi="Arial" w:cs="Arial"/>
                <w:bCs/>
              </w:rPr>
              <w:t xml:space="preserve"> There has been a decrease in the number of both white and BAME colleagues who experienced harassment, bullying or abuse from staff: falling from</w:t>
            </w:r>
            <w:r w:rsidR="00E17C3A" w:rsidRPr="005F4903">
              <w:rPr>
                <w:rFonts w:ascii="Arial" w:hAnsi="Arial" w:cs="Arial"/>
                <w:bCs/>
              </w:rPr>
              <w:t xml:space="preserve"> </w:t>
            </w:r>
            <w:r w:rsidR="00E17C3A" w:rsidRPr="005F4903">
              <w:rPr>
                <w:rFonts w:ascii="Arial" w:hAnsi="Arial" w:cs="Arial"/>
                <w:b/>
              </w:rPr>
              <w:t>29.1%</w:t>
            </w:r>
            <w:r w:rsidR="00E17C3A" w:rsidRPr="005F4903">
              <w:rPr>
                <w:rFonts w:ascii="Arial" w:hAnsi="Arial" w:cs="Arial"/>
                <w:bCs/>
              </w:rPr>
              <w:t xml:space="preserve"> </w:t>
            </w:r>
            <w:r w:rsidRPr="005F4903">
              <w:rPr>
                <w:rFonts w:ascii="Arial" w:hAnsi="Arial" w:cs="Arial"/>
                <w:bCs/>
              </w:rPr>
              <w:t xml:space="preserve">of white staff who experienced this </w:t>
            </w:r>
            <w:r w:rsidR="00F7393B" w:rsidRPr="005F4903">
              <w:rPr>
                <w:rFonts w:ascii="Arial" w:hAnsi="Arial" w:cs="Arial"/>
                <w:bCs/>
              </w:rPr>
              <w:t xml:space="preserve">last year </w:t>
            </w:r>
            <w:r w:rsidRPr="005F4903">
              <w:rPr>
                <w:rFonts w:ascii="Arial" w:hAnsi="Arial" w:cs="Arial"/>
                <w:bCs/>
              </w:rPr>
              <w:t xml:space="preserve">to </w:t>
            </w:r>
            <w:r w:rsidR="00766C59">
              <w:rPr>
                <w:rFonts w:ascii="Arial" w:hAnsi="Arial" w:cs="Arial"/>
                <w:b/>
              </w:rPr>
              <w:t xml:space="preserve">26.2% </w:t>
            </w:r>
            <w:r w:rsidRPr="005F4903">
              <w:rPr>
                <w:rFonts w:ascii="Arial" w:hAnsi="Arial" w:cs="Arial"/>
                <w:bCs/>
              </w:rPr>
              <w:t xml:space="preserve">of white staff in </w:t>
            </w:r>
            <w:r w:rsidR="00F7393B" w:rsidRPr="005F4903">
              <w:rPr>
                <w:rFonts w:ascii="Arial" w:hAnsi="Arial" w:cs="Arial"/>
                <w:bCs/>
              </w:rPr>
              <w:t>this report</w:t>
            </w:r>
            <w:r w:rsidRPr="005F4903">
              <w:rPr>
                <w:rFonts w:ascii="Arial" w:hAnsi="Arial" w:cs="Arial"/>
                <w:bCs/>
              </w:rPr>
              <w:t xml:space="preserve">, and </w:t>
            </w:r>
            <w:r w:rsidR="00C322CC" w:rsidRPr="005F4903">
              <w:rPr>
                <w:rFonts w:ascii="Arial" w:hAnsi="Arial" w:cs="Arial"/>
                <w:b/>
              </w:rPr>
              <w:t xml:space="preserve">35.6% </w:t>
            </w:r>
            <w:r w:rsidRPr="005F4903">
              <w:rPr>
                <w:rFonts w:ascii="Arial" w:hAnsi="Arial" w:cs="Arial"/>
                <w:bCs/>
              </w:rPr>
              <w:t xml:space="preserve">of BAME staff experiencing this </w:t>
            </w:r>
            <w:r w:rsidR="00F7393B" w:rsidRPr="005F4903">
              <w:rPr>
                <w:rFonts w:ascii="Arial" w:hAnsi="Arial" w:cs="Arial"/>
                <w:bCs/>
              </w:rPr>
              <w:t>last year</w:t>
            </w:r>
            <w:r w:rsidR="00C322CC" w:rsidRPr="005F4903">
              <w:rPr>
                <w:rFonts w:ascii="Arial" w:hAnsi="Arial" w:cs="Arial"/>
                <w:bCs/>
              </w:rPr>
              <w:t xml:space="preserve"> </w:t>
            </w:r>
            <w:r w:rsidRPr="005F4903">
              <w:rPr>
                <w:rFonts w:ascii="Arial" w:hAnsi="Arial" w:cs="Arial"/>
                <w:bCs/>
              </w:rPr>
              <w:t xml:space="preserve">to </w:t>
            </w:r>
            <w:r w:rsidR="00766C59">
              <w:rPr>
                <w:rFonts w:ascii="Arial" w:hAnsi="Arial" w:cs="Arial"/>
                <w:b/>
              </w:rPr>
              <w:t>31.4%</w:t>
            </w:r>
            <w:r w:rsidRPr="002A1DE1">
              <w:rPr>
                <w:rFonts w:ascii="Arial" w:hAnsi="Arial" w:cs="Arial"/>
                <w:bCs/>
              </w:rPr>
              <w:t xml:space="preserve"> </w:t>
            </w:r>
            <w:r w:rsidRPr="005F4903">
              <w:rPr>
                <w:rFonts w:ascii="Arial" w:hAnsi="Arial" w:cs="Arial"/>
                <w:bCs/>
              </w:rPr>
              <w:t>of BAME staff</w:t>
            </w:r>
            <w:r w:rsidR="00CE26F9">
              <w:rPr>
                <w:rFonts w:ascii="Arial" w:hAnsi="Arial" w:cs="Arial"/>
                <w:bCs/>
              </w:rPr>
              <w:t>.</w:t>
            </w:r>
          </w:p>
          <w:p w14:paraId="201C32DE" w14:textId="77777777" w:rsidR="005F4903" w:rsidRPr="005F4903" w:rsidRDefault="005F4903" w:rsidP="005F4903">
            <w:pPr>
              <w:pStyle w:val="ListParagraph"/>
              <w:tabs>
                <w:tab w:val="left" w:pos="459"/>
                <w:tab w:val="left" w:pos="743"/>
              </w:tabs>
              <w:ind w:left="1800"/>
              <w:rPr>
                <w:rFonts w:ascii="Arial" w:hAnsi="Arial" w:cs="Arial"/>
              </w:rPr>
            </w:pPr>
          </w:p>
          <w:p w14:paraId="74D82A83" w14:textId="454B813C" w:rsidR="00B04CA4" w:rsidRDefault="00420438" w:rsidP="00420438">
            <w:pPr>
              <w:pStyle w:val="ListParagraph"/>
              <w:numPr>
                <w:ilvl w:val="1"/>
                <w:numId w:val="8"/>
              </w:numPr>
              <w:tabs>
                <w:tab w:val="left" w:pos="447"/>
              </w:tabs>
              <w:ind w:left="589" w:hanging="425"/>
              <w:rPr>
                <w:rFonts w:ascii="Arial" w:hAnsi="Arial" w:cs="Arial"/>
              </w:rPr>
            </w:pPr>
            <w:r>
              <w:rPr>
                <w:rFonts w:ascii="Arial" w:hAnsi="Arial" w:cs="Arial"/>
              </w:rPr>
              <w:t xml:space="preserve">The full data that has been reported nationally is at </w:t>
            </w:r>
            <w:r w:rsidRPr="00F7393B">
              <w:rPr>
                <w:rFonts w:ascii="Arial" w:hAnsi="Arial" w:cs="Arial"/>
                <w:b/>
                <w:bCs/>
              </w:rPr>
              <w:t>Appendix A</w:t>
            </w:r>
            <w:r>
              <w:rPr>
                <w:rFonts w:ascii="Arial" w:hAnsi="Arial" w:cs="Arial"/>
              </w:rPr>
              <w:t xml:space="preserve"> </w:t>
            </w:r>
            <w:r w:rsidR="00745DA2">
              <w:rPr>
                <w:rFonts w:ascii="Arial" w:hAnsi="Arial" w:cs="Arial"/>
              </w:rPr>
              <w:t xml:space="preserve">(PowerPoint) </w:t>
            </w:r>
            <w:r>
              <w:rPr>
                <w:rFonts w:ascii="Arial" w:hAnsi="Arial" w:cs="Arial"/>
              </w:rPr>
              <w:t xml:space="preserve">and </w:t>
            </w:r>
            <w:r w:rsidR="00CE26F9">
              <w:rPr>
                <w:rFonts w:ascii="Arial" w:hAnsi="Arial" w:cs="Arial"/>
              </w:rPr>
              <w:t xml:space="preserve">consulted with </w:t>
            </w:r>
            <w:r>
              <w:rPr>
                <w:rFonts w:ascii="Arial" w:hAnsi="Arial" w:cs="Arial"/>
              </w:rPr>
              <w:t xml:space="preserve">the </w:t>
            </w:r>
            <w:r w:rsidR="00B04CA4" w:rsidRPr="00F7393B">
              <w:rPr>
                <w:rFonts w:ascii="Arial" w:hAnsi="Arial" w:cs="Arial"/>
              </w:rPr>
              <w:t xml:space="preserve">NNUH Together Staff Network </w:t>
            </w:r>
            <w:r w:rsidR="00FD11BC" w:rsidRPr="00F7393B">
              <w:rPr>
                <w:rFonts w:ascii="Arial" w:hAnsi="Arial" w:cs="Arial"/>
              </w:rPr>
              <w:t xml:space="preserve">and </w:t>
            </w:r>
            <w:r w:rsidRPr="00F7393B">
              <w:rPr>
                <w:rFonts w:ascii="Arial" w:hAnsi="Arial" w:cs="Arial"/>
              </w:rPr>
              <w:t>Equality and Diversity Group (</w:t>
            </w:r>
            <w:proofErr w:type="spellStart"/>
            <w:r w:rsidR="00FD11BC" w:rsidRPr="00F7393B">
              <w:rPr>
                <w:rFonts w:ascii="Arial" w:hAnsi="Arial" w:cs="Arial"/>
              </w:rPr>
              <w:t>EDGe</w:t>
            </w:r>
            <w:proofErr w:type="spellEnd"/>
            <w:r w:rsidRPr="00F7393B">
              <w:rPr>
                <w:rFonts w:ascii="Arial" w:hAnsi="Arial" w:cs="Arial"/>
              </w:rPr>
              <w:t>)</w:t>
            </w:r>
            <w:r w:rsidR="00CE26F9">
              <w:rPr>
                <w:rFonts w:ascii="Arial" w:hAnsi="Arial" w:cs="Arial"/>
              </w:rPr>
              <w:t>.</w:t>
            </w:r>
          </w:p>
          <w:p w14:paraId="23E3E8D0" w14:textId="77777777" w:rsidR="00420438" w:rsidRDefault="00420438" w:rsidP="00420438">
            <w:pPr>
              <w:tabs>
                <w:tab w:val="left" w:pos="447"/>
              </w:tabs>
              <w:rPr>
                <w:rFonts w:ascii="Arial" w:hAnsi="Arial" w:cs="Arial"/>
              </w:rPr>
            </w:pPr>
          </w:p>
          <w:p w14:paraId="79674BE6" w14:textId="77777777" w:rsidR="00420438" w:rsidRDefault="00420438" w:rsidP="00420438">
            <w:pPr>
              <w:tabs>
                <w:tab w:val="left" w:pos="447"/>
              </w:tabs>
              <w:rPr>
                <w:rFonts w:ascii="Arial" w:hAnsi="Arial" w:cs="Arial"/>
              </w:rPr>
            </w:pPr>
            <w:r>
              <w:rPr>
                <w:rFonts w:ascii="Arial" w:hAnsi="Arial" w:cs="Arial"/>
              </w:rPr>
              <w:t>NNUH Current WRES Action Plan Review</w:t>
            </w:r>
          </w:p>
          <w:p w14:paraId="0AD7BCAE" w14:textId="77777777" w:rsidR="00570C0E" w:rsidRDefault="00570C0E" w:rsidP="00420438">
            <w:pPr>
              <w:tabs>
                <w:tab w:val="left" w:pos="447"/>
              </w:tabs>
              <w:rPr>
                <w:rFonts w:ascii="Arial" w:hAnsi="Arial" w:cs="Arial"/>
              </w:rPr>
            </w:pPr>
          </w:p>
          <w:p w14:paraId="116E1816" w14:textId="42F8FD6B" w:rsidR="00420438" w:rsidRPr="00F7393B" w:rsidRDefault="00420438" w:rsidP="00F7393B">
            <w:pPr>
              <w:tabs>
                <w:tab w:val="left" w:pos="447"/>
              </w:tabs>
              <w:rPr>
                <w:rFonts w:ascii="Arial" w:hAnsi="Arial" w:cs="Arial"/>
              </w:rPr>
            </w:pPr>
            <w:r w:rsidRPr="00F7393B">
              <w:rPr>
                <w:rFonts w:ascii="Arial" w:hAnsi="Arial" w:cs="Arial"/>
                <w:b/>
                <w:bCs/>
              </w:rPr>
              <w:t>Appendix B</w:t>
            </w:r>
            <w:r>
              <w:rPr>
                <w:rFonts w:ascii="Arial" w:hAnsi="Arial" w:cs="Arial"/>
              </w:rPr>
              <w:t xml:space="preserve"> contains an overview of existing WRES actions for the Trust and a summary of current progress for information. These are kept under review via </w:t>
            </w:r>
            <w:proofErr w:type="spellStart"/>
            <w:r>
              <w:rPr>
                <w:rFonts w:ascii="Arial" w:hAnsi="Arial" w:cs="Arial"/>
              </w:rPr>
              <w:t>EDGe</w:t>
            </w:r>
            <w:proofErr w:type="spellEnd"/>
            <w:r w:rsidR="00C93284">
              <w:rPr>
                <w:rFonts w:ascii="Arial" w:hAnsi="Arial" w:cs="Arial"/>
              </w:rPr>
              <w:t xml:space="preserve">, </w:t>
            </w:r>
            <w:r>
              <w:rPr>
                <w:rFonts w:ascii="Arial" w:hAnsi="Arial" w:cs="Arial"/>
              </w:rPr>
              <w:t xml:space="preserve">local diversity groups and </w:t>
            </w:r>
            <w:r w:rsidR="00C93284">
              <w:rPr>
                <w:rFonts w:ascii="Arial" w:hAnsi="Arial" w:cs="Arial"/>
              </w:rPr>
              <w:t xml:space="preserve">our diverse </w:t>
            </w:r>
            <w:r>
              <w:rPr>
                <w:rFonts w:ascii="Arial" w:hAnsi="Arial" w:cs="Arial"/>
              </w:rPr>
              <w:t xml:space="preserve">staff networks. </w:t>
            </w:r>
          </w:p>
          <w:p w14:paraId="479EB24C" w14:textId="77777777" w:rsidR="00B5381D" w:rsidRPr="00865000" w:rsidRDefault="00B5381D" w:rsidP="00B5381D">
            <w:pPr>
              <w:tabs>
                <w:tab w:val="left" w:pos="447"/>
              </w:tabs>
              <w:ind w:left="164"/>
              <w:rPr>
                <w:rFonts w:ascii="Arial" w:hAnsi="Arial" w:cs="Arial"/>
                <w:b/>
                <w:bCs/>
              </w:rPr>
            </w:pPr>
          </w:p>
          <w:p w14:paraId="2E2AF131" w14:textId="77777777" w:rsidR="00865000" w:rsidRPr="00865000" w:rsidRDefault="00865000" w:rsidP="00B5381D">
            <w:pPr>
              <w:tabs>
                <w:tab w:val="left" w:pos="447"/>
              </w:tabs>
              <w:ind w:left="164"/>
              <w:rPr>
                <w:rFonts w:ascii="Arial" w:hAnsi="Arial" w:cs="Arial"/>
                <w:b/>
                <w:bCs/>
              </w:rPr>
            </w:pPr>
            <w:r w:rsidRPr="00865000">
              <w:rPr>
                <w:rFonts w:ascii="Arial" w:hAnsi="Arial" w:cs="Arial"/>
                <w:b/>
                <w:bCs/>
              </w:rPr>
              <w:t>Considerations</w:t>
            </w:r>
          </w:p>
          <w:p w14:paraId="4073A7A3" w14:textId="77777777" w:rsidR="00865000" w:rsidRDefault="00865000" w:rsidP="00865000">
            <w:pPr>
              <w:tabs>
                <w:tab w:val="left" w:pos="447"/>
              </w:tabs>
              <w:rPr>
                <w:rFonts w:ascii="Arial" w:hAnsi="Arial" w:cs="Arial"/>
              </w:rPr>
            </w:pPr>
          </w:p>
          <w:p w14:paraId="1D204548" w14:textId="459E8DF8" w:rsidR="001478C8" w:rsidRDefault="001478C8" w:rsidP="00865000">
            <w:pPr>
              <w:tabs>
                <w:tab w:val="left" w:pos="447"/>
              </w:tabs>
              <w:rPr>
                <w:rFonts w:ascii="Arial" w:hAnsi="Arial" w:cs="Arial"/>
              </w:rPr>
            </w:pPr>
            <w:r>
              <w:rPr>
                <w:rFonts w:ascii="Arial" w:hAnsi="Arial" w:cs="Arial"/>
              </w:rPr>
              <w:t xml:space="preserve">The Trust has recently participated in </w:t>
            </w:r>
            <w:r w:rsidR="00C93284">
              <w:rPr>
                <w:rFonts w:ascii="Arial" w:hAnsi="Arial" w:cs="Arial"/>
              </w:rPr>
              <w:t>an NIHR sponsored</w:t>
            </w:r>
            <w:r>
              <w:rPr>
                <w:rFonts w:ascii="Arial" w:hAnsi="Arial" w:cs="Arial"/>
              </w:rPr>
              <w:t xml:space="preserve"> research</w:t>
            </w:r>
            <w:r w:rsidR="00C93284">
              <w:rPr>
                <w:rFonts w:ascii="Arial" w:hAnsi="Arial" w:cs="Arial"/>
              </w:rPr>
              <w:t xml:space="preserve"> study</w:t>
            </w:r>
            <w:r>
              <w:rPr>
                <w:rFonts w:ascii="Arial" w:hAnsi="Arial" w:cs="Arial"/>
              </w:rPr>
              <w:t xml:space="preserve">, which </w:t>
            </w:r>
            <w:r w:rsidR="00C93284">
              <w:rPr>
                <w:rFonts w:ascii="Arial" w:hAnsi="Arial" w:cs="Arial"/>
              </w:rPr>
              <w:t>sought to improve diversity practice across the NHS</w:t>
            </w:r>
            <w:r>
              <w:rPr>
                <w:rFonts w:ascii="Arial" w:hAnsi="Arial" w:cs="Arial"/>
              </w:rPr>
              <w:t>.  The report highlighted</w:t>
            </w:r>
            <w:r w:rsidR="00C93284">
              <w:rPr>
                <w:rFonts w:ascii="Arial" w:hAnsi="Arial" w:cs="Arial"/>
              </w:rPr>
              <w:t xml:space="preserve"> several</w:t>
            </w:r>
            <w:r>
              <w:rPr>
                <w:rFonts w:ascii="Arial" w:hAnsi="Arial" w:cs="Arial"/>
              </w:rPr>
              <w:t xml:space="preserve"> area</w:t>
            </w:r>
            <w:r w:rsidR="00C93284">
              <w:rPr>
                <w:rFonts w:ascii="Arial" w:hAnsi="Arial" w:cs="Arial"/>
              </w:rPr>
              <w:t>s</w:t>
            </w:r>
            <w:r>
              <w:rPr>
                <w:rFonts w:ascii="Arial" w:hAnsi="Arial" w:cs="Arial"/>
              </w:rPr>
              <w:t xml:space="preserve"> of good practice at NNUH in terms of our </w:t>
            </w:r>
            <w:proofErr w:type="spellStart"/>
            <w:r>
              <w:rPr>
                <w:rFonts w:ascii="Arial" w:hAnsi="Arial" w:cs="Arial"/>
              </w:rPr>
              <w:t>LEDGe</w:t>
            </w:r>
            <w:proofErr w:type="spellEnd"/>
            <w:r>
              <w:rPr>
                <w:rFonts w:ascii="Arial" w:hAnsi="Arial" w:cs="Arial"/>
              </w:rPr>
              <w:t xml:space="preserve"> groups, </w:t>
            </w:r>
            <w:r w:rsidR="00C93284">
              <w:rPr>
                <w:rFonts w:ascii="Arial" w:hAnsi="Arial" w:cs="Arial"/>
              </w:rPr>
              <w:t xml:space="preserve">staff networks, peer support groups and initiatives such as </w:t>
            </w:r>
            <w:proofErr w:type="spellStart"/>
            <w:r w:rsidR="00C93284">
              <w:rPr>
                <w:rFonts w:ascii="Arial" w:hAnsi="Arial" w:cs="Arial"/>
              </w:rPr>
              <w:t>as</w:t>
            </w:r>
            <w:proofErr w:type="spellEnd"/>
            <w:r w:rsidR="00C93284">
              <w:rPr>
                <w:rFonts w:ascii="Arial" w:hAnsi="Arial" w:cs="Arial"/>
              </w:rPr>
              <w:t xml:space="preserve"> our Menopause Support Policy </w:t>
            </w:r>
            <w:r>
              <w:rPr>
                <w:rFonts w:ascii="Arial" w:hAnsi="Arial" w:cs="Arial"/>
              </w:rPr>
              <w:t xml:space="preserve">.  The report did however </w:t>
            </w:r>
            <w:r w:rsidR="00C93284">
              <w:rPr>
                <w:rFonts w:ascii="Arial" w:hAnsi="Arial" w:cs="Arial"/>
              </w:rPr>
              <w:t>indicate</w:t>
            </w:r>
            <w:r>
              <w:rPr>
                <w:rFonts w:ascii="Arial" w:hAnsi="Arial" w:cs="Arial"/>
              </w:rPr>
              <w:t xml:space="preserve"> that BAME colleagues felt that recruitment opportunities may not always be equal, citing a feeling that different questions were asked depending on the candidate or that interview times were shorter for BAME </w:t>
            </w:r>
            <w:r w:rsidR="00C93284">
              <w:rPr>
                <w:rFonts w:ascii="Arial" w:hAnsi="Arial" w:cs="Arial"/>
              </w:rPr>
              <w:t>candidates</w:t>
            </w:r>
            <w:r>
              <w:rPr>
                <w:rFonts w:ascii="Arial" w:hAnsi="Arial" w:cs="Arial"/>
              </w:rPr>
              <w:t xml:space="preserve">. </w:t>
            </w:r>
          </w:p>
          <w:p w14:paraId="20007ACC" w14:textId="77777777" w:rsidR="001478C8" w:rsidRDefault="001478C8" w:rsidP="00865000">
            <w:pPr>
              <w:tabs>
                <w:tab w:val="left" w:pos="447"/>
              </w:tabs>
              <w:rPr>
                <w:rFonts w:ascii="Arial" w:hAnsi="Arial" w:cs="Arial"/>
              </w:rPr>
            </w:pPr>
          </w:p>
          <w:p w14:paraId="2FF2F2F4" w14:textId="76AC27AA" w:rsidR="00865000" w:rsidRDefault="00444F70" w:rsidP="00865000">
            <w:pPr>
              <w:tabs>
                <w:tab w:val="left" w:pos="447"/>
              </w:tabs>
              <w:rPr>
                <w:rFonts w:ascii="Arial" w:hAnsi="Arial" w:cs="Arial"/>
              </w:rPr>
            </w:pPr>
            <w:r>
              <w:rPr>
                <w:rFonts w:ascii="Arial" w:hAnsi="Arial" w:cs="Arial"/>
              </w:rPr>
              <w:t xml:space="preserve">Whilst </w:t>
            </w:r>
            <w:r w:rsidR="001478C8">
              <w:rPr>
                <w:rFonts w:ascii="Arial" w:hAnsi="Arial" w:cs="Arial"/>
              </w:rPr>
              <w:t xml:space="preserve">our WRES </w:t>
            </w:r>
            <w:r w:rsidR="00865000">
              <w:rPr>
                <w:rFonts w:ascii="Arial" w:hAnsi="Arial" w:cs="Arial"/>
              </w:rPr>
              <w:t xml:space="preserve">figures show incremental improvements across </w:t>
            </w:r>
            <w:r w:rsidR="00C93284">
              <w:rPr>
                <w:rFonts w:ascii="Arial" w:hAnsi="Arial" w:cs="Arial"/>
              </w:rPr>
              <w:t>objective</w:t>
            </w:r>
            <w:r w:rsidR="00865000">
              <w:rPr>
                <w:rFonts w:ascii="Arial" w:hAnsi="Arial" w:cs="Arial"/>
              </w:rPr>
              <w:t xml:space="preserve"> indicators, our staff survey results remain below the average for Acute Trusts.  The</w:t>
            </w:r>
            <w:r w:rsidR="00FA1272">
              <w:rPr>
                <w:rFonts w:ascii="Arial" w:hAnsi="Arial" w:cs="Arial"/>
              </w:rPr>
              <w:t xml:space="preserve"> paper has been considered by the People &amp; Culture Committee, who noted the improvements against the indicators, and requested an update on improvement actions for 2025-26. The committee further requested that representatives from the Diverse Staff Networks be invited to all future People &amp; Culture Committee meetings as an initial enabler for supporting more involvement in </w:t>
            </w:r>
            <w:proofErr w:type="spellStart"/>
            <w:r w:rsidR="00FA1272">
              <w:rPr>
                <w:rFonts w:ascii="Arial" w:hAnsi="Arial" w:cs="Arial"/>
              </w:rPr>
              <w:t>decion</w:t>
            </w:r>
            <w:proofErr w:type="spellEnd"/>
            <w:r w:rsidR="00FA1272">
              <w:rPr>
                <w:rFonts w:ascii="Arial" w:hAnsi="Arial" w:cs="Arial"/>
              </w:rPr>
              <w:t>-making for a.</w:t>
            </w:r>
          </w:p>
          <w:p w14:paraId="165F5335" w14:textId="77777777" w:rsidR="00865000" w:rsidRPr="00B5381D" w:rsidRDefault="00865000" w:rsidP="00B5381D">
            <w:pPr>
              <w:tabs>
                <w:tab w:val="left" w:pos="447"/>
              </w:tabs>
              <w:ind w:left="164"/>
              <w:rPr>
                <w:rFonts w:ascii="Arial" w:hAnsi="Arial" w:cs="Arial"/>
              </w:rPr>
            </w:pPr>
          </w:p>
          <w:p w14:paraId="6207E68D" w14:textId="77777777" w:rsidR="00BE33D6" w:rsidRPr="00A827AC" w:rsidRDefault="00BE33D6" w:rsidP="00A827AC">
            <w:pPr>
              <w:rPr>
                <w:rFonts w:ascii="Arial" w:hAnsi="Arial" w:cs="Arial"/>
                <w:b/>
                <w:u w:val="single"/>
              </w:rPr>
            </w:pPr>
          </w:p>
        </w:tc>
      </w:tr>
      <w:tr w:rsidR="008D46A9" w:rsidRPr="00AF0E90" w14:paraId="6BD668BB" w14:textId="77777777" w:rsidTr="00894BDA">
        <w:trPr>
          <w:trHeight w:val="841"/>
        </w:trPr>
        <w:tc>
          <w:tcPr>
            <w:tcW w:w="15134" w:type="dxa"/>
            <w:gridSpan w:val="4"/>
          </w:tcPr>
          <w:p w14:paraId="6D59A68E" w14:textId="77777777" w:rsidR="008E3A5C" w:rsidRPr="00631811" w:rsidRDefault="008E3A5C" w:rsidP="008E3A5C">
            <w:pPr>
              <w:rPr>
                <w:rFonts w:ascii="Arial" w:hAnsi="Arial" w:cs="Arial"/>
                <w:b/>
              </w:rPr>
            </w:pPr>
            <w:r w:rsidRPr="00631811">
              <w:rPr>
                <w:rFonts w:ascii="Arial" w:hAnsi="Arial" w:cs="Arial"/>
                <w:b/>
              </w:rPr>
              <w:lastRenderedPageBreak/>
              <w:t>Recommendation:</w:t>
            </w:r>
          </w:p>
          <w:p w14:paraId="235776D8" w14:textId="77777777" w:rsidR="008D46A9" w:rsidRPr="00631811" w:rsidRDefault="00A01970" w:rsidP="00C45414">
            <w:pPr>
              <w:rPr>
                <w:rFonts w:ascii="Arial" w:hAnsi="Arial" w:cs="Arial"/>
              </w:rPr>
            </w:pPr>
            <w:r w:rsidRPr="00631811">
              <w:rPr>
                <w:rFonts w:ascii="Arial" w:hAnsi="Arial" w:cs="Arial"/>
              </w:rPr>
              <w:t>The Board is recommended to:</w:t>
            </w:r>
          </w:p>
          <w:p w14:paraId="6D770D9D" w14:textId="76A7ADC6" w:rsidR="00A01970" w:rsidRPr="00631811" w:rsidRDefault="00A01970" w:rsidP="00C93284">
            <w:pPr>
              <w:pStyle w:val="ListParagraph"/>
              <w:ind w:left="360"/>
              <w:rPr>
                <w:rFonts w:ascii="Arial" w:hAnsi="Arial" w:cs="Arial"/>
              </w:rPr>
            </w:pPr>
          </w:p>
          <w:p w14:paraId="5754E436" w14:textId="77777777" w:rsidR="00A01970" w:rsidRDefault="00B7650F" w:rsidP="00C45414">
            <w:pPr>
              <w:pStyle w:val="ListParagraph"/>
              <w:numPr>
                <w:ilvl w:val="0"/>
                <w:numId w:val="12"/>
              </w:numPr>
              <w:ind w:left="360"/>
              <w:rPr>
                <w:rFonts w:ascii="Arial" w:hAnsi="Arial" w:cs="Arial"/>
              </w:rPr>
            </w:pPr>
            <w:r>
              <w:rPr>
                <w:rFonts w:ascii="Arial" w:hAnsi="Arial" w:cs="Arial"/>
              </w:rPr>
              <w:t xml:space="preserve">Approve the data for official publication </w:t>
            </w:r>
          </w:p>
          <w:p w14:paraId="5C8FC9B1" w14:textId="77777777" w:rsidR="00C93284" w:rsidRDefault="00C93284" w:rsidP="00C45414">
            <w:pPr>
              <w:pStyle w:val="ListParagraph"/>
              <w:numPr>
                <w:ilvl w:val="0"/>
                <w:numId w:val="12"/>
              </w:numPr>
              <w:ind w:left="360"/>
              <w:rPr>
                <w:rFonts w:ascii="Arial" w:hAnsi="Arial" w:cs="Arial"/>
              </w:rPr>
            </w:pPr>
            <w:r>
              <w:rPr>
                <w:rFonts w:ascii="Arial" w:hAnsi="Arial" w:cs="Arial"/>
              </w:rPr>
              <w:t>Support senior engagement in inclusion work, such as allyship and reverse mentoring</w:t>
            </w:r>
          </w:p>
          <w:p w14:paraId="7703478E" w14:textId="2352EC46" w:rsidR="00C93284" w:rsidRDefault="00C93284" w:rsidP="00C45414">
            <w:pPr>
              <w:pStyle w:val="ListParagraph"/>
              <w:numPr>
                <w:ilvl w:val="0"/>
                <w:numId w:val="12"/>
              </w:numPr>
              <w:ind w:left="360"/>
              <w:rPr>
                <w:rFonts w:ascii="Arial" w:hAnsi="Arial" w:cs="Arial"/>
              </w:rPr>
            </w:pPr>
            <w:r>
              <w:rPr>
                <w:rFonts w:ascii="Arial" w:hAnsi="Arial" w:cs="Arial"/>
              </w:rPr>
              <w:t>Support the Trust Board in role modelling by Updating their EDI record, particularly in respect of disability</w:t>
            </w:r>
          </w:p>
          <w:p w14:paraId="0B523560" w14:textId="5A2E837A" w:rsidR="00C93284" w:rsidRPr="00D77EF1" w:rsidRDefault="00C93284" w:rsidP="00C93284">
            <w:pPr>
              <w:pStyle w:val="ListParagraph"/>
              <w:ind w:left="360"/>
              <w:rPr>
                <w:rFonts w:ascii="Arial" w:hAnsi="Arial" w:cs="Arial"/>
              </w:rPr>
            </w:pPr>
          </w:p>
        </w:tc>
      </w:tr>
    </w:tbl>
    <w:p w14:paraId="1B7CCB5E" w14:textId="77777777" w:rsidR="0048605B" w:rsidRDefault="0048605B" w:rsidP="00EC7110">
      <w:pPr>
        <w:tabs>
          <w:tab w:val="left" w:pos="2630"/>
        </w:tabs>
        <w:rPr>
          <w:sz w:val="24"/>
          <w:szCs w:val="24"/>
        </w:rPr>
      </w:pPr>
    </w:p>
    <w:p w14:paraId="1D928B53" w14:textId="15BF9670" w:rsidR="00745DA2" w:rsidRPr="00745DA2" w:rsidRDefault="00745DA2" w:rsidP="00FC5C13">
      <w:pPr>
        <w:pStyle w:val="Heading2"/>
      </w:pPr>
      <w:r w:rsidRPr="00745DA2">
        <w:t xml:space="preserve">Appendix A – </w:t>
      </w:r>
      <w:r w:rsidRPr="00FC5C13">
        <w:rPr>
          <w:u w:val="single"/>
        </w:rPr>
        <w:t xml:space="preserve">see separate </w:t>
      </w:r>
      <w:r w:rsidR="001E7F92" w:rsidRPr="00FC5C13">
        <w:rPr>
          <w:u w:val="single"/>
        </w:rPr>
        <w:t>PowerPoint</w:t>
      </w:r>
      <w:r w:rsidRPr="00FC5C13">
        <w:rPr>
          <w:u w:val="single"/>
        </w:rPr>
        <w:t xml:space="preserve"> </w:t>
      </w:r>
      <w:bookmarkStart w:id="0" w:name="_Hlk175743206"/>
      <w:r w:rsidRPr="00FC5C13">
        <w:rPr>
          <w:u w:val="single"/>
        </w:rPr>
        <w:t xml:space="preserve">of the 2023/24 WRES data as </w:t>
      </w:r>
      <w:bookmarkEnd w:id="0"/>
      <w:r w:rsidR="00AB3BA5" w:rsidRPr="00FC5C13">
        <w:rPr>
          <w:u w:val="single"/>
        </w:rPr>
        <w:t>reported.</w:t>
      </w:r>
    </w:p>
    <w:p w14:paraId="19F7AF25" w14:textId="0275AF90" w:rsidR="00745DA2" w:rsidRPr="008A7B98" w:rsidRDefault="00745DA2" w:rsidP="00745DA2">
      <w:pPr>
        <w:pStyle w:val="Heading2"/>
        <w:rPr>
          <w:u w:val="single"/>
        </w:rPr>
      </w:pPr>
      <w:r>
        <w:t xml:space="preserve">Appendix B </w:t>
      </w:r>
      <w:r w:rsidR="00AB3BA5" w:rsidRPr="000963C9">
        <w:t xml:space="preserve">– </w:t>
      </w:r>
      <w:r w:rsidRPr="00745DA2">
        <w:rPr>
          <w:u w:val="single"/>
        </w:rPr>
        <w:t xml:space="preserve">NNUH WRES 2024 Action Plan Progress Report Overview </w:t>
      </w:r>
    </w:p>
    <w:p w14:paraId="4E06D690" w14:textId="77777777" w:rsidR="00745DA2" w:rsidRDefault="00745DA2" w:rsidP="00745DA2">
      <w:bookmarkStart w:id="1" w:name="_Hlk172807600"/>
    </w:p>
    <w:p w14:paraId="77622E06" w14:textId="77777777" w:rsidR="00745DA2" w:rsidRDefault="00745DA2" w:rsidP="00745DA2">
      <w:r>
        <w:t>Completed – Green, Extended/In Progress – Amber, Not Progressed – Red.</w:t>
      </w:r>
    </w:p>
    <w:p w14:paraId="0C8C829C" w14:textId="45A58734" w:rsidR="00745DA2" w:rsidRDefault="00745DA2" w:rsidP="00745DA2">
      <w:r>
        <w:lastRenderedPageBreak/>
        <w:t>Whilst</w:t>
      </w:r>
      <w:r w:rsidR="00FC5C13">
        <w:t xml:space="preserve"> the</w:t>
      </w:r>
      <w:r>
        <w:t xml:space="preserve"> WRES 2022-2025 action plan gave the individual measures/outcomes deadlines, the actions outlined in the plan were not given their own deadlines unless this was the same. Any incomplete actions will be moved into the measures/outcome tracker with an estimated deadline in order to ensure that these are picked up and actioned as swiftly as possible before the end of our 3-year action plan next year.</w:t>
      </w:r>
      <w:bookmarkEnd w:id="1"/>
    </w:p>
    <w:tbl>
      <w:tblPr>
        <w:tblStyle w:val="TableGrid"/>
        <w:tblW w:w="15177" w:type="dxa"/>
        <w:tblLook w:val="04A0" w:firstRow="1" w:lastRow="0" w:firstColumn="1" w:lastColumn="0" w:noHBand="0" w:noVBand="1"/>
      </w:tblPr>
      <w:tblGrid>
        <w:gridCol w:w="1257"/>
        <w:gridCol w:w="4572"/>
        <w:gridCol w:w="1552"/>
        <w:gridCol w:w="7796"/>
      </w:tblGrid>
      <w:tr w:rsidR="00745DA2" w14:paraId="2833A349" w14:textId="77777777" w:rsidTr="00E42862">
        <w:tc>
          <w:tcPr>
            <w:tcW w:w="1257" w:type="dxa"/>
            <w:shd w:val="clear" w:color="auto" w:fill="DDD9C3" w:themeFill="background2" w:themeFillShade="E6"/>
          </w:tcPr>
          <w:p w14:paraId="057B59D7" w14:textId="77777777" w:rsidR="00745DA2" w:rsidRPr="00AD242B" w:rsidRDefault="00745DA2" w:rsidP="00E42862">
            <w:pPr>
              <w:pStyle w:val="Heading1"/>
              <w:rPr>
                <w:sz w:val="24"/>
                <w:szCs w:val="24"/>
              </w:rPr>
            </w:pPr>
            <w:r w:rsidRPr="00AD242B">
              <w:rPr>
                <w:sz w:val="24"/>
                <w:szCs w:val="24"/>
              </w:rPr>
              <w:t>Indicators</w:t>
            </w:r>
          </w:p>
        </w:tc>
        <w:tc>
          <w:tcPr>
            <w:tcW w:w="4572" w:type="dxa"/>
            <w:shd w:val="clear" w:color="auto" w:fill="DDD9C3" w:themeFill="background2" w:themeFillShade="E6"/>
          </w:tcPr>
          <w:p w14:paraId="6832454D" w14:textId="77777777" w:rsidR="00745DA2" w:rsidRPr="00AD242B" w:rsidRDefault="00745DA2" w:rsidP="00E42862">
            <w:pPr>
              <w:pStyle w:val="Heading1"/>
              <w:rPr>
                <w:sz w:val="24"/>
                <w:szCs w:val="24"/>
              </w:rPr>
            </w:pPr>
            <w:r w:rsidRPr="00AD242B">
              <w:rPr>
                <w:sz w:val="24"/>
                <w:szCs w:val="24"/>
              </w:rPr>
              <w:t>Outcome</w:t>
            </w:r>
          </w:p>
        </w:tc>
        <w:tc>
          <w:tcPr>
            <w:tcW w:w="1552" w:type="dxa"/>
            <w:shd w:val="clear" w:color="auto" w:fill="DDD9C3" w:themeFill="background2" w:themeFillShade="E6"/>
          </w:tcPr>
          <w:p w14:paraId="6B997DA7" w14:textId="77777777" w:rsidR="00745DA2" w:rsidRPr="00AD242B" w:rsidRDefault="00745DA2" w:rsidP="00E42862">
            <w:pPr>
              <w:pStyle w:val="Heading1"/>
              <w:rPr>
                <w:sz w:val="24"/>
                <w:szCs w:val="24"/>
              </w:rPr>
            </w:pPr>
            <w:r w:rsidRPr="00AD242B">
              <w:rPr>
                <w:sz w:val="24"/>
                <w:szCs w:val="24"/>
              </w:rPr>
              <w:t>Deadline</w:t>
            </w:r>
          </w:p>
        </w:tc>
        <w:tc>
          <w:tcPr>
            <w:tcW w:w="7796" w:type="dxa"/>
            <w:shd w:val="clear" w:color="auto" w:fill="DDD9C3" w:themeFill="background2" w:themeFillShade="E6"/>
          </w:tcPr>
          <w:p w14:paraId="7A7651F8" w14:textId="77777777" w:rsidR="00745DA2" w:rsidRPr="00AD242B" w:rsidRDefault="00745DA2" w:rsidP="00E42862">
            <w:pPr>
              <w:pStyle w:val="Heading1"/>
              <w:rPr>
                <w:sz w:val="24"/>
                <w:szCs w:val="24"/>
              </w:rPr>
            </w:pPr>
            <w:r>
              <w:rPr>
                <w:sz w:val="24"/>
                <w:szCs w:val="24"/>
              </w:rPr>
              <w:t xml:space="preserve">Actions </w:t>
            </w:r>
          </w:p>
        </w:tc>
      </w:tr>
      <w:tr w:rsidR="00745DA2" w14:paraId="566A97BA" w14:textId="77777777" w:rsidTr="00C93284">
        <w:tc>
          <w:tcPr>
            <w:tcW w:w="1257" w:type="dxa"/>
          </w:tcPr>
          <w:p w14:paraId="600BFBAA" w14:textId="77777777" w:rsidR="00745DA2" w:rsidRDefault="00745DA2" w:rsidP="00E42862">
            <w:r>
              <w:t>1</w:t>
            </w:r>
          </w:p>
        </w:tc>
        <w:tc>
          <w:tcPr>
            <w:tcW w:w="4572" w:type="dxa"/>
          </w:tcPr>
          <w:p w14:paraId="46C281EC" w14:textId="23D86C5C" w:rsidR="00745DA2" w:rsidRPr="00AD242B" w:rsidRDefault="00745DA2" w:rsidP="00E42862">
            <w:r w:rsidRPr="00AD242B">
              <w:t xml:space="preserve">Each division to ensure they have BAME representation </w:t>
            </w:r>
            <w:r w:rsidR="00C93284">
              <w:t>in roles at</w:t>
            </w:r>
            <w:r w:rsidRPr="00AD242B">
              <w:t xml:space="preserve"> Band 8a and above</w:t>
            </w:r>
            <w:r w:rsidR="00C93284">
              <w:t xml:space="preserve">. </w:t>
            </w:r>
            <w:r w:rsidRPr="00AD242B">
              <w:t xml:space="preserve">Report progress back to the </w:t>
            </w:r>
            <w:proofErr w:type="spellStart"/>
            <w:r w:rsidRPr="00AD242B">
              <w:t>EDGe</w:t>
            </w:r>
            <w:proofErr w:type="spellEnd"/>
            <w:r w:rsidRPr="00AD242B">
              <w:t xml:space="preserve"> on an annual basis.  </w:t>
            </w:r>
          </w:p>
          <w:p w14:paraId="2EFF1A6B" w14:textId="77777777" w:rsidR="00745DA2" w:rsidRDefault="00745DA2" w:rsidP="00E42862"/>
        </w:tc>
        <w:tc>
          <w:tcPr>
            <w:tcW w:w="1552" w:type="dxa"/>
            <w:shd w:val="clear" w:color="auto" w:fill="FFC000"/>
          </w:tcPr>
          <w:p w14:paraId="15BD1201" w14:textId="77777777" w:rsidR="00745DA2" w:rsidRDefault="00745DA2" w:rsidP="00E42862">
            <w:r>
              <w:t>March 2025</w:t>
            </w:r>
          </w:p>
          <w:p w14:paraId="0BA552FE" w14:textId="77777777" w:rsidR="00AC7095" w:rsidRPr="00AC7095" w:rsidRDefault="00AC7095" w:rsidP="00AC7095"/>
        </w:tc>
        <w:tc>
          <w:tcPr>
            <w:tcW w:w="7796" w:type="dxa"/>
          </w:tcPr>
          <w:p w14:paraId="606D7EC3" w14:textId="77777777" w:rsidR="00745DA2" w:rsidRDefault="00745DA2" w:rsidP="00E42862"/>
          <w:p w14:paraId="63A4EA49" w14:textId="77777777" w:rsidR="00745DA2" w:rsidRDefault="00745DA2" w:rsidP="00745DA2">
            <w:pPr>
              <w:pStyle w:val="ListParagraph"/>
              <w:numPr>
                <w:ilvl w:val="0"/>
                <w:numId w:val="31"/>
              </w:numPr>
            </w:pPr>
            <w:r>
              <w:t>To “provide detailed data to divisions on their workforce profile and applicant success rates. Each division to then identify three hot spot areas to improve representation.”</w:t>
            </w:r>
          </w:p>
          <w:p w14:paraId="48BCDE7E" w14:textId="77777777" w:rsidR="00745DA2" w:rsidRDefault="00745DA2" w:rsidP="00E42862"/>
          <w:p w14:paraId="10B057CD" w14:textId="77777777" w:rsidR="00745DA2" w:rsidRDefault="00745DA2" w:rsidP="00745DA2">
            <w:pPr>
              <w:pStyle w:val="ListParagraph"/>
              <w:numPr>
                <w:ilvl w:val="0"/>
                <w:numId w:val="30"/>
              </w:numPr>
            </w:pPr>
            <w:r>
              <w:t xml:space="preserve">Quarterly EDI and applicant success reports are reviewed and actioned at </w:t>
            </w:r>
            <w:proofErr w:type="spellStart"/>
            <w:r>
              <w:t>LEDGe</w:t>
            </w:r>
            <w:proofErr w:type="spellEnd"/>
            <w:r>
              <w:t xml:space="preserve"> groups each quarter</w:t>
            </w:r>
          </w:p>
          <w:p w14:paraId="582506A6" w14:textId="77777777" w:rsidR="00745DA2" w:rsidRDefault="00745DA2" w:rsidP="00E42862">
            <w:pPr>
              <w:pStyle w:val="ListParagraph"/>
            </w:pPr>
          </w:p>
          <w:p w14:paraId="1F7CEA78" w14:textId="77777777" w:rsidR="00745DA2" w:rsidRPr="00B0688E" w:rsidRDefault="00745DA2" w:rsidP="00745DA2">
            <w:pPr>
              <w:pStyle w:val="ListParagraph"/>
              <w:numPr>
                <w:ilvl w:val="0"/>
                <w:numId w:val="30"/>
              </w:numPr>
            </w:pPr>
            <w:r>
              <w:t>To “w</w:t>
            </w:r>
            <w:r w:rsidRPr="008A7B98">
              <w:t>ork with the communications team to incorporate representative imagery within the Trust.</w:t>
            </w:r>
            <w:r>
              <w:t>”</w:t>
            </w:r>
          </w:p>
          <w:p w14:paraId="163BC11B" w14:textId="77777777" w:rsidR="00745DA2" w:rsidRPr="00342FFF" w:rsidRDefault="00745DA2" w:rsidP="00E42862"/>
          <w:p w14:paraId="0D6BF58A" w14:textId="77777777" w:rsidR="00745DA2" w:rsidRDefault="00745DA2" w:rsidP="00745DA2">
            <w:pPr>
              <w:pStyle w:val="ListParagraph"/>
              <w:numPr>
                <w:ilvl w:val="0"/>
                <w:numId w:val="30"/>
              </w:numPr>
            </w:pPr>
            <w:r>
              <w:t xml:space="preserve">The communications team is mindful about using diverse imagery wherever possible in all communications. </w:t>
            </w:r>
          </w:p>
          <w:p w14:paraId="01B7629D" w14:textId="77777777" w:rsidR="00745DA2" w:rsidRDefault="00745DA2" w:rsidP="00E42862">
            <w:pPr>
              <w:pStyle w:val="ListParagraph"/>
            </w:pPr>
          </w:p>
          <w:p w14:paraId="3102255D" w14:textId="3B4B0407" w:rsidR="00745DA2" w:rsidRDefault="00745DA2" w:rsidP="00716719">
            <w:pPr>
              <w:pStyle w:val="ListParagraph"/>
              <w:numPr>
                <w:ilvl w:val="0"/>
                <w:numId w:val="30"/>
              </w:numPr>
            </w:pPr>
            <w:r>
              <w:t>To “S</w:t>
            </w:r>
            <w:r w:rsidRPr="008A7B98">
              <w:t xml:space="preserve">upport internal progression through meaningful career conversations for our current BAME staff within Band 8a and above roles and report back on progress to </w:t>
            </w:r>
            <w:proofErr w:type="spellStart"/>
            <w:r w:rsidRPr="008A7B98">
              <w:t>EDGe</w:t>
            </w:r>
            <w:proofErr w:type="spellEnd"/>
            <w:r w:rsidRPr="008A7B98">
              <w:t xml:space="preserve"> on an annual basis.</w:t>
            </w:r>
            <w:r>
              <w:t>”</w:t>
            </w:r>
          </w:p>
          <w:p w14:paraId="3A601FA7" w14:textId="77777777" w:rsidR="00745DA2" w:rsidRPr="00B0688E" w:rsidRDefault="00745DA2" w:rsidP="00E42862">
            <w:pPr>
              <w:pStyle w:val="ListParagraph"/>
            </w:pPr>
          </w:p>
          <w:p w14:paraId="14AB0C5B" w14:textId="22D256D6" w:rsidR="00745DA2" w:rsidRDefault="00745DA2" w:rsidP="00E42862">
            <w:r>
              <w:t xml:space="preserve">Our </w:t>
            </w:r>
            <w:r w:rsidRPr="00B0688E">
              <w:t xml:space="preserve">PDR process now incorporates a career conversation for all staff, supported by specific development opportunities aimed toward </w:t>
            </w:r>
            <w:r>
              <w:t>BAM</w:t>
            </w:r>
            <w:r w:rsidRPr="00B0688E">
              <w:t xml:space="preserve">E colleagues, for example </w:t>
            </w:r>
            <w:r>
              <w:t xml:space="preserve">our </w:t>
            </w:r>
            <w:r w:rsidR="00C93284">
              <w:t>positive action initiative, A</w:t>
            </w:r>
            <w:r>
              <w:t xml:space="preserve">ccelerated </w:t>
            </w:r>
            <w:r w:rsidR="00C93284">
              <w:t>L</w:t>
            </w:r>
            <w:r>
              <w:t xml:space="preserve">eaders programme. </w:t>
            </w:r>
          </w:p>
          <w:p w14:paraId="0105CBDD" w14:textId="77777777" w:rsidR="00745DA2" w:rsidRDefault="00745DA2" w:rsidP="00E42862">
            <w:pPr>
              <w:pStyle w:val="ListParagraph"/>
            </w:pPr>
          </w:p>
        </w:tc>
      </w:tr>
      <w:tr w:rsidR="00745DA2" w14:paraId="45972494" w14:textId="77777777" w:rsidTr="00C93284">
        <w:tc>
          <w:tcPr>
            <w:tcW w:w="1257" w:type="dxa"/>
          </w:tcPr>
          <w:p w14:paraId="524BAE7C" w14:textId="77777777" w:rsidR="00745DA2" w:rsidRDefault="00745DA2" w:rsidP="00E42862">
            <w:r>
              <w:t>2</w:t>
            </w:r>
          </w:p>
        </w:tc>
        <w:tc>
          <w:tcPr>
            <w:tcW w:w="4572" w:type="dxa"/>
          </w:tcPr>
          <w:p w14:paraId="3C71B047" w14:textId="77777777" w:rsidR="00745DA2" w:rsidRPr="00BE0828" w:rsidRDefault="00745DA2" w:rsidP="00E42862">
            <w:r w:rsidRPr="00BE0828">
              <w:t>All Band 8a and above roles will have a balanced decision-making interview panel in respect of ethnicity.</w:t>
            </w:r>
          </w:p>
          <w:p w14:paraId="7084567A" w14:textId="77777777" w:rsidR="00745DA2" w:rsidRDefault="00745DA2" w:rsidP="00E42862"/>
        </w:tc>
        <w:tc>
          <w:tcPr>
            <w:tcW w:w="1552" w:type="dxa"/>
            <w:shd w:val="clear" w:color="auto" w:fill="FFC000"/>
          </w:tcPr>
          <w:p w14:paraId="1FF6797D" w14:textId="77777777" w:rsidR="00745DA2" w:rsidRDefault="00745DA2" w:rsidP="00E42862">
            <w:r>
              <w:t xml:space="preserve">July 2023 </w:t>
            </w:r>
          </w:p>
        </w:tc>
        <w:tc>
          <w:tcPr>
            <w:tcW w:w="7796" w:type="dxa"/>
          </w:tcPr>
          <w:p w14:paraId="4D9F6AEE" w14:textId="77777777" w:rsidR="00745DA2" w:rsidRDefault="00745DA2" w:rsidP="00745DA2">
            <w:pPr>
              <w:pStyle w:val="ListParagraph"/>
              <w:numPr>
                <w:ilvl w:val="0"/>
                <w:numId w:val="31"/>
              </w:numPr>
            </w:pPr>
            <w:r>
              <w:t>To “implement balanced interview panels in respect of ethnicity for Band 8a and above roles.”</w:t>
            </w:r>
          </w:p>
          <w:p w14:paraId="77D600FA" w14:textId="77777777" w:rsidR="00745DA2" w:rsidRDefault="00745DA2" w:rsidP="00E42862"/>
          <w:p w14:paraId="67F072D3" w14:textId="77777777" w:rsidR="00745DA2" w:rsidRDefault="00745DA2" w:rsidP="00745DA2">
            <w:pPr>
              <w:pStyle w:val="ListParagraph"/>
              <w:numPr>
                <w:ilvl w:val="0"/>
                <w:numId w:val="31"/>
              </w:numPr>
            </w:pPr>
            <w:r>
              <w:t xml:space="preserve">CSS are piloting this to ensure a sustainable model can be developed for wider implementation. </w:t>
            </w:r>
          </w:p>
          <w:p w14:paraId="0E71FA2C" w14:textId="77777777" w:rsidR="00745DA2" w:rsidRDefault="00745DA2" w:rsidP="00E42862"/>
        </w:tc>
      </w:tr>
      <w:tr w:rsidR="00745DA2" w14:paraId="5388A875" w14:textId="77777777" w:rsidTr="00C70812">
        <w:tc>
          <w:tcPr>
            <w:tcW w:w="1257" w:type="dxa"/>
          </w:tcPr>
          <w:p w14:paraId="52631D41" w14:textId="77777777" w:rsidR="00745DA2" w:rsidRDefault="00745DA2" w:rsidP="00E42862">
            <w:r>
              <w:lastRenderedPageBreak/>
              <w:t>2</w:t>
            </w:r>
          </w:p>
        </w:tc>
        <w:tc>
          <w:tcPr>
            <w:tcW w:w="4572" w:type="dxa"/>
          </w:tcPr>
          <w:p w14:paraId="3F661823" w14:textId="77777777" w:rsidR="00745DA2" w:rsidRPr="009A5A77" w:rsidRDefault="00745DA2" w:rsidP="00E42862">
            <w:r w:rsidRPr="009A5A77">
              <w:t xml:space="preserve">Senior leaders/Triumvirates are held accountable for ensuring a de-bias approach for recruitment. </w:t>
            </w:r>
          </w:p>
          <w:p w14:paraId="4AB8C22B" w14:textId="77777777" w:rsidR="00745DA2" w:rsidRDefault="00745DA2" w:rsidP="00E42862"/>
        </w:tc>
        <w:tc>
          <w:tcPr>
            <w:tcW w:w="1552" w:type="dxa"/>
            <w:shd w:val="clear" w:color="auto" w:fill="FFC000"/>
          </w:tcPr>
          <w:p w14:paraId="2CFDC217" w14:textId="77777777" w:rsidR="00745DA2" w:rsidRDefault="00745DA2" w:rsidP="00E42862">
            <w:r>
              <w:t xml:space="preserve">March 2024 </w:t>
            </w:r>
          </w:p>
        </w:tc>
        <w:tc>
          <w:tcPr>
            <w:tcW w:w="7796" w:type="dxa"/>
          </w:tcPr>
          <w:p w14:paraId="1E0BB75C" w14:textId="6651ED34" w:rsidR="00745DA2" w:rsidRDefault="00745DA2" w:rsidP="00745DA2">
            <w:pPr>
              <w:pStyle w:val="ListParagraph"/>
              <w:numPr>
                <w:ilvl w:val="0"/>
                <w:numId w:val="31"/>
              </w:numPr>
            </w:pPr>
            <w:r>
              <w:t>T</w:t>
            </w:r>
            <w:r w:rsidR="00C70812">
              <w:t xml:space="preserve">his is being developed as a system wide initiative to </w:t>
            </w:r>
            <w:r>
              <w:t>“Review the recruitment process and work with other Trusts to identify improvements and to Implement a de-biasing recruitment framework/ toolkit and embed within our recruitment policy and training.”</w:t>
            </w:r>
          </w:p>
          <w:p w14:paraId="42861771" w14:textId="77777777" w:rsidR="00745DA2" w:rsidRDefault="00745DA2" w:rsidP="00E42862"/>
          <w:p w14:paraId="2D3E2DC8" w14:textId="77777777" w:rsidR="00745DA2" w:rsidRDefault="00745DA2" w:rsidP="00745DA2">
            <w:pPr>
              <w:pStyle w:val="ListParagraph"/>
              <w:numPr>
                <w:ilvl w:val="0"/>
                <w:numId w:val="31"/>
              </w:numPr>
            </w:pPr>
            <w:r>
              <w:t>The CSS pilot will assist in this, which has been designed in collaboration with other Trusts in the ICS including Mid and South Essex NHS Foundation Trust.</w:t>
            </w:r>
          </w:p>
          <w:p w14:paraId="456F226E" w14:textId="77777777" w:rsidR="00745DA2" w:rsidRDefault="00745DA2" w:rsidP="00E42862"/>
        </w:tc>
      </w:tr>
      <w:tr w:rsidR="00745DA2" w14:paraId="794C546B" w14:textId="77777777" w:rsidTr="00AC7095">
        <w:tc>
          <w:tcPr>
            <w:tcW w:w="1257" w:type="dxa"/>
          </w:tcPr>
          <w:p w14:paraId="3CB369D2" w14:textId="77777777" w:rsidR="00745DA2" w:rsidRDefault="00745DA2" w:rsidP="00E42862">
            <w:r>
              <w:t>3</w:t>
            </w:r>
          </w:p>
        </w:tc>
        <w:tc>
          <w:tcPr>
            <w:tcW w:w="4572" w:type="dxa"/>
          </w:tcPr>
          <w:p w14:paraId="49EF648C" w14:textId="77777777" w:rsidR="00745DA2" w:rsidRPr="00024073" w:rsidRDefault="00745DA2" w:rsidP="00E42862">
            <w:r w:rsidRPr="00024073">
              <w:t>Improved monitoring of our employee relations cases which will enable regular reporting.</w:t>
            </w:r>
          </w:p>
          <w:p w14:paraId="7FF11EBB" w14:textId="77777777" w:rsidR="00745DA2" w:rsidRDefault="00745DA2" w:rsidP="00E42862"/>
        </w:tc>
        <w:tc>
          <w:tcPr>
            <w:tcW w:w="1552" w:type="dxa"/>
            <w:shd w:val="clear" w:color="auto" w:fill="FFC000"/>
          </w:tcPr>
          <w:p w14:paraId="6034DDE6" w14:textId="77777777" w:rsidR="00745DA2" w:rsidRDefault="00745DA2" w:rsidP="00E42862">
            <w:r>
              <w:t>June 2024</w:t>
            </w:r>
          </w:p>
        </w:tc>
        <w:tc>
          <w:tcPr>
            <w:tcW w:w="7796" w:type="dxa"/>
          </w:tcPr>
          <w:p w14:paraId="6731A508" w14:textId="77777777" w:rsidR="00745DA2" w:rsidRDefault="00745DA2" w:rsidP="00745DA2">
            <w:pPr>
              <w:pStyle w:val="ListParagraph"/>
              <w:numPr>
                <w:ilvl w:val="0"/>
                <w:numId w:val="31"/>
              </w:numPr>
            </w:pPr>
            <w:r>
              <w:t>To “Implement a new employee relations system to allow for detailed reporting and enable us to review and reflect on our learning from cases.”</w:t>
            </w:r>
          </w:p>
          <w:p w14:paraId="769513FF" w14:textId="77777777" w:rsidR="00745DA2" w:rsidRDefault="00745DA2" w:rsidP="00E42862"/>
          <w:p w14:paraId="502D13A6" w14:textId="77777777" w:rsidR="00745DA2" w:rsidRDefault="00745DA2" w:rsidP="00745DA2">
            <w:pPr>
              <w:pStyle w:val="ListParagraph"/>
              <w:numPr>
                <w:ilvl w:val="0"/>
                <w:numId w:val="31"/>
              </w:numPr>
            </w:pPr>
            <w:r>
              <w:t>The Trust has been using the HR assure platform since 2023 to allow for detailed reporting and enable review and actions.</w:t>
            </w:r>
          </w:p>
          <w:p w14:paraId="6C57A470" w14:textId="77777777" w:rsidR="00745DA2" w:rsidRDefault="00745DA2" w:rsidP="00E42862"/>
        </w:tc>
      </w:tr>
      <w:tr w:rsidR="00745DA2" w14:paraId="4E513121" w14:textId="77777777" w:rsidTr="00C70812">
        <w:tc>
          <w:tcPr>
            <w:tcW w:w="1257" w:type="dxa"/>
          </w:tcPr>
          <w:p w14:paraId="004F9745" w14:textId="77777777" w:rsidR="00745DA2" w:rsidRDefault="00745DA2" w:rsidP="00E42862">
            <w:r>
              <w:t xml:space="preserve">5, 6 &amp; 8 </w:t>
            </w:r>
          </w:p>
        </w:tc>
        <w:tc>
          <w:tcPr>
            <w:tcW w:w="4572" w:type="dxa"/>
          </w:tcPr>
          <w:p w14:paraId="086AD211" w14:textId="77777777" w:rsidR="00745DA2" w:rsidRPr="0067007C" w:rsidRDefault="00745DA2" w:rsidP="00E42862">
            <w:r w:rsidRPr="0067007C">
              <w:t xml:space="preserve">Staff are active allies and know how to appropriately challenge behaviours and support their colleagues. </w:t>
            </w:r>
          </w:p>
          <w:p w14:paraId="050978CC" w14:textId="77777777" w:rsidR="00745DA2" w:rsidRDefault="00745DA2" w:rsidP="00E42862"/>
        </w:tc>
        <w:tc>
          <w:tcPr>
            <w:tcW w:w="1552" w:type="dxa"/>
            <w:shd w:val="clear" w:color="auto" w:fill="9BBB59" w:themeFill="accent3"/>
          </w:tcPr>
          <w:p w14:paraId="576BE8D0" w14:textId="77777777" w:rsidR="00745DA2" w:rsidRDefault="00745DA2" w:rsidP="00E42862">
            <w:r>
              <w:t>August 2023</w:t>
            </w:r>
          </w:p>
        </w:tc>
        <w:tc>
          <w:tcPr>
            <w:tcW w:w="7796" w:type="dxa"/>
          </w:tcPr>
          <w:p w14:paraId="61CF65C8" w14:textId="77777777" w:rsidR="00745DA2" w:rsidRDefault="00745DA2" w:rsidP="00745DA2">
            <w:pPr>
              <w:pStyle w:val="ListParagraph"/>
              <w:numPr>
                <w:ilvl w:val="0"/>
                <w:numId w:val="33"/>
              </w:numPr>
            </w:pPr>
            <w:r>
              <w:t>To “Produce a microaggressions campaign and incorporate within relevant training highlighting the awareness and how to appropriately challenge”, to “Revise our Dignity at Work Policy”, to “Deliver call it out workshops to our managers” and to” launch a Kindness and Respect Campaign.”</w:t>
            </w:r>
          </w:p>
          <w:p w14:paraId="6C808404" w14:textId="77777777" w:rsidR="00745DA2" w:rsidRDefault="00745DA2" w:rsidP="00E42862"/>
          <w:p w14:paraId="19558FE8" w14:textId="77777777" w:rsidR="00745DA2" w:rsidRDefault="00745DA2" w:rsidP="00745DA2">
            <w:pPr>
              <w:pStyle w:val="ListParagraph"/>
              <w:numPr>
                <w:ilvl w:val="0"/>
                <w:numId w:val="31"/>
              </w:numPr>
            </w:pPr>
            <w:r>
              <w:t>We have fulfilled these actions by creating the ‘Call it out Microaggressions’ campaign and training to managers, which raises awareness of how to appropriately challenge incidents.</w:t>
            </w:r>
          </w:p>
          <w:p w14:paraId="027E73E7" w14:textId="77777777" w:rsidR="00745DA2" w:rsidRDefault="00745DA2" w:rsidP="00E42862">
            <w:pPr>
              <w:ind w:firstLine="60"/>
            </w:pPr>
          </w:p>
          <w:p w14:paraId="4831165F" w14:textId="77777777" w:rsidR="00745DA2" w:rsidRDefault="00745DA2" w:rsidP="00745DA2">
            <w:pPr>
              <w:pStyle w:val="ListParagraph"/>
              <w:numPr>
                <w:ilvl w:val="0"/>
                <w:numId w:val="31"/>
              </w:numPr>
            </w:pPr>
            <w:r>
              <w:t>A new Civility and Respect policy was launched in March 2024 which supports colleagues in challenging and addressing poor behaviours.</w:t>
            </w:r>
          </w:p>
          <w:p w14:paraId="1E340FDC" w14:textId="77777777" w:rsidR="00745DA2" w:rsidRDefault="00745DA2" w:rsidP="00E42862"/>
        </w:tc>
      </w:tr>
      <w:tr w:rsidR="00745DA2" w14:paraId="09F6144A" w14:textId="77777777" w:rsidTr="00C70812">
        <w:tc>
          <w:tcPr>
            <w:tcW w:w="1257" w:type="dxa"/>
          </w:tcPr>
          <w:p w14:paraId="1BD6A066" w14:textId="77777777" w:rsidR="00745DA2" w:rsidRDefault="00745DA2" w:rsidP="00E42862">
            <w:r>
              <w:t xml:space="preserve">5, 6 &amp; 8 </w:t>
            </w:r>
          </w:p>
        </w:tc>
        <w:tc>
          <w:tcPr>
            <w:tcW w:w="4572" w:type="dxa"/>
          </w:tcPr>
          <w:p w14:paraId="13D421A1" w14:textId="77777777" w:rsidR="00745DA2" w:rsidRPr="00A0537C" w:rsidRDefault="00745DA2" w:rsidP="00E42862">
            <w:r w:rsidRPr="00A0537C">
              <w:t xml:space="preserve">BAME colleagues feel more confident in speaking up. </w:t>
            </w:r>
          </w:p>
          <w:p w14:paraId="4C1AD649" w14:textId="77777777" w:rsidR="00745DA2" w:rsidRDefault="00745DA2" w:rsidP="00E42862"/>
        </w:tc>
        <w:tc>
          <w:tcPr>
            <w:tcW w:w="1552" w:type="dxa"/>
            <w:shd w:val="clear" w:color="auto" w:fill="9BBB59" w:themeFill="accent3"/>
          </w:tcPr>
          <w:p w14:paraId="3C9B7C39" w14:textId="77777777" w:rsidR="00745DA2" w:rsidRDefault="00745DA2" w:rsidP="00E42862">
            <w:r>
              <w:t>July 2023</w:t>
            </w:r>
          </w:p>
        </w:tc>
        <w:tc>
          <w:tcPr>
            <w:tcW w:w="7796" w:type="dxa"/>
          </w:tcPr>
          <w:p w14:paraId="33F9580C" w14:textId="77777777" w:rsidR="00745DA2" w:rsidRDefault="00745DA2" w:rsidP="00745DA2">
            <w:pPr>
              <w:pStyle w:val="ListParagraph"/>
              <w:numPr>
                <w:ilvl w:val="0"/>
                <w:numId w:val="31"/>
              </w:numPr>
            </w:pPr>
            <w:r>
              <w:t>To “Monitor the numbers of Datix Incident Reporting related to bulling or abuse from patients towards our staff and assess if these incidences were managed effectively in line with our protocol” and to “work with the Norfolk Police on reporting hate crime.”</w:t>
            </w:r>
          </w:p>
          <w:p w14:paraId="7FB386D1" w14:textId="77777777" w:rsidR="00745DA2" w:rsidRDefault="00745DA2" w:rsidP="00E42862">
            <w:pPr>
              <w:pStyle w:val="ListParagraph"/>
            </w:pPr>
          </w:p>
          <w:p w14:paraId="2548048D" w14:textId="77777777" w:rsidR="00745DA2" w:rsidRDefault="00745DA2" w:rsidP="00E42862">
            <w:r>
              <w:t xml:space="preserve">We have monitored the Datix incident reports since 2023 and have been working with the Norfolk police to report any hate crimes where they occur and signpost this information to staff in all relevant policies.  </w:t>
            </w:r>
          </w:p>
          <w:p w14:paraId="56E35C2E" w14:textId="77777777" w:rsidR="00745DA2" w:rsidRDefault="00745DA2" w:rsidP="00745DA2">
            <w:pPr>
              <w:pStyle w:val="ListParagraph"/>
              <w:numPr>
                <w:ilvl w:val="0"/>
                <w:numId w:val="31"/>
              </w:numPr>
            </w:pPr>
            <w:r>
              <w:lastRenderedPageBreak/>
              <w:t xml:space="preserve"> “</w:t>
            </w:r>
            <w:r w:rsidRPr="008715E8">
              <w:t xml:space="preserve">Increase the diversity of the freedom to speak up champion </w:t>
            </w:r>
            <w:r w:rsidRPr="00744680">
              <w:t>role.</w:t>
            </w:r>
            <w:r>
              <w:t xml:space="preserve">” </w:t>
            </w:r>
          </w:p>
          <w:p w14:paraId="6B542B12" w14:textId="77777777" w:rsidR="00745DA2" w:rsidRDefault="00745DA2" w:rsidP="00E42862">
            <w:pPr>
              <w:pStyle w:val="ListParagraph"/>
            </w:pPr>
          </w:p>
          <w:p w14:paraId="170553FE" w14:textId="77777777" w:rsidR="00745DA2" w:rsidRDefault="00745DA2" w:rsidP="00745DA2">
            <w:pPr>
              <w:pStyle w:val="ListParagraph"/>
              <w:numPr>
                <w:ilvl w:val="0"/>
                <w:numId w:val="31"/>
              </w:numPr>
              <w:tabs>
                <w:tab w:val="left" w:pos="2080"/>
              </w:tabs>
            </w:pPr>
            <w:r>
              <w:t xml:space="preserve">The freedom to speak up team has been working over the last 18 months to create a more representative network that mirrors our working community. Initially staffed by 5 Guardians who shared the same ethnicity, the size of the network has increased, with the network exploring inclusion across roles. This has led to a natural improvement in ethnic representation, however specific ethnicity data on its volunteers is not currently held or collated. </w:t>
            </w:r>
          </w:p>
          <w:p w14:paraId="4273F3E4" w14:textId="77777777" w:rsidR="00745DA2" w:rsidRDefault="00745DA2" w:rsidP="00E42862">
            <w:pPr>
              <w:pStyle w:val="ListParagraph"/>
            </w:pPr>
          </w:p>
          <w:p w14:paraId="756049A4" w14:textId="32D6FAEB" w:rsidR="00745DA2" w:rsidRDefault="00745DA2" w:rsidP="00E42862">
            <w:pPr>
              <w:pStyle w:val="ListParagraph"/>
              <w:tabs>
                <w:tab w:val="left" w:pos="2080"/>
              </w:tabs>
            </w:pPr>
            <w:r>
              <w:t>FTSU are looking to create a network to better support our international colleagues.</w:t>
            </w:r>
          </w:p>
        </w:tc>
      </w:tr>
      <w:tr w:rsidR="00745DA2" w14:paraId="2F14A038" w14:textId="77777777" w:rsidTr="00C70812">
        <w:tc>
          <w:tcPr>
            <w:tcW w:w="1257" w:type="dxa"/>
          </w:tcPr>
          <w:p w14:paraId="486F2D7E" w14:textId="77777777" w:rsidR="00745DA2" w:rsidRDefault="00745DA2" w:rsidP="00E42862">
            <w:r>
              <w:lastRenderedPageBreak/>
              <w:t>7</w:t>
            </w:r>
          </w:p>
        </w:tc>
        <w:tc>
          <w:tcPr>
            <w:tcW w:w="4572" w:type="dxa"/>
          </w:tcPr>
          <w:p w14:paraId="6C310686" w14:textId="77777777" w:rsidR="00745DA2" w:rsidRPr="000810AD" w:rsidRDefault="00745DA2" w:rsidP="00E42862">
            <w:r w:rsidRPr="000810AD">
              <w:t>‘Hot spot’ areas on staff development which require improvement are monitored regularly and are addressed locally.</w:t>
            </w:r>
          </w:p>
          <w:p w14:paraId="2FD43506" w14:textId="77777777" w:rsidR="00745DA2" w:rsidRPr="00024073" w:rsidRDefault="00745DA2" w:rsidP="00E42862">
            <w:pPr>
              <w:rPr>
                <w:b/>
                <w:bCs/>
              </w:rPr>
            </w:pPr>
          </w:p>
        </w:tc>
        <w:tc>
          <w:tcPr>
            <w:tcW w:w="1552" w:type="dxa"/>
            <w:shd w:val="clear" w:color="auto" w:fill="9BBB59" w:themeFill="accent3"/>
          </w:tcPr>
          <w:p w14:paraId="7B02E1D8" w14:textId="77777777" w:rsidR="00745DA2" w:rsidRDefault="00745DA2" w:rsidP="00E42862">
            <w:r>
              <w:t>July 2023</w:t>
            </w:r>
          </w:p>
        </w:tc>
        <w:tc>
          <w:tcPr>
            <w:tcW w:w="7796" w:type="dxa"/>
          </w:tcPr>
          <w:p w14:paraId="389F244A" w14:textId="77777777" w:rsidR="00745DA2" w:rsidRDefault="00745DA2" w:rsidP="00745DA2">
            <w:pPr>
              <w:pStyle w:val="ListParagraph"/>
              <w:numPr>
                <w:ilvl w:val="0"/>
                <w:numId w:val="29"/>
              </w:numPr>
            </w:pPr>
            <w:r>
              <w:t>The main action for indicator 7 was to “</w:t>
            </w:r>
            <w:r w:rsidRPr="008715E8">
              <w:t>Introduce an ethnicity pay gap audit</w:t>
            </w:r>
            <w:r>
              <w:t>.”</w:t>
            </w:r>
          </w:p>
          <w:p w14:paraId="4C3FF86F" w14:textId="77777777" w:rsidR="00745DA2" w:rsidRDefault="00745DA2" w:rsidP="00E42862">
            <w:pPr>
              <w:pStyle w:val="ListParagraph"/>
            </w:pPr>
          </w:p>
          <w:p w14:paraId="4D2A9416" w14:textId="1D534D02" w:rsidR="00745DA2" w:rsidRDefault="00745DA2" w:rsidP="00745DA2">
            <w:pPr>
              <w:pStyle w:val="ListParagraph"/>
              <w:numPr>
                <w:ilvl w:val="0"/>
                <w:numId w:val="29"/>
              </w:numPr>
            </w:pPr>
            <w:r>
              <w:t xml:space="preserve">The Trust produced and published its first ethnicity pay gap report in April 2024. </w:t>
            </w:r>
            <w:r w:rsidR="00C70812">
              <w:t>We will continue to review this for any lessons learned</w:t>
            </w:r>
          </w:p>
          <w:p w14:paraId="7580010E" w14:textId="77777777" w:rsidR="00745DA2" w:rsidRPr="00530718" w:rsidRDefault="00745DA2" w:rsidP="00E42862">
            <w:pPr>
              <w:pStyle w:val="ListParagraph"/>
            </w:pPr>
          </w:p>
          <w:p w14:paraId="4AB579F6" w14:textId="77777777" w:rsidR="00745DA2" w:rsidRDefault="00745DA2" w:rsidP="00E42862"/>
        </w:tc>
      </w:tr>
      <w:tr w:rsidR="00745DA2" w14:paraId="457A950F" w14:textId="77777777" w:rsidTr="00AC7095">
        <w:tc>
          <w:tcPr>
            <w:tcW w:w="1257" w:type="dxa"/>
          </w:tcPr>
          <w:p w14:paraId="4553539E" w14:textId="77777777" w:rsidR="00745DA2" w:rsidRDefault="00745DA2" w:rsidP="00E42862">
            <w:r>
              <w:t>7</w:t>
            </w:r>
          </w:p>
        </w:tc>
        <w:tc>
          <w:tcPr>
            <w:tcW w:w="4572" w:type="dxa"/>
          </w:tcPr>
          <w:p w14:paraId="28BBB4FC" w14:textId="77777777" w:rsidR="00745DA2" w:rsidRPr="00E23837" w:rsidRDefault="00745DA2" w:rsidP="00E42862">
            <w:r w:rsidRPr="00E23837">
              <w:t>Increased BAME representation participating in decision making forums and other development opportunities.</w:t>
            </w:r>
          </w:p>
          <w:p w14:paraId="441AE031" w14:textId="77777777" w:rsidR="00745DA2" w:rsidRDefault="00745DA2" w:rsidP="00E42862"/>
        </w:tc>
        <w:tc>
          <w:tcPr>
            <w:tcW w:w="1552" w:type="dxa"/>
            <w:shd w:val="clear" w:color="auto" w:fill="F4724A"/>
          </w:tcPr>
          <w:p w14:paraId="56179DED" w14:textId="77777777" w:rsidR="00745DA2" w:rsidRDefault="00745DA2" w:rsidP="00E42862">
            <w:r>
              <w:t>March 2024</w:t>
            </w:r>
          </w:p>
        </w:tc>
        <w:tc>
          <w:tcPr>
            <w:tcW w:w="7796" w:type="dxa"/>
          </w:tcPr>
          <w:p w14:paraId="63127D0A" w14:textId="77777777" w:rsidR="00745DA2" w:rsidRDefault="00745DA2" w:rsidP="00745DA2">
            <w:pPr>
              <w:pStyle w:val="ListParagraph"/>
              <w:numPr>
                <w:ilvl w:val="0"/>
                <w:numId w:val="32"/>
              </w:numPr>
            </w:pPr>
            <w:r>
              <w:t xml:space="preserve">No specific actions were tied to this. </w:t>
            </w:r>
          </w:p>
          <w:p w14:paraId="5753D0B5" w14:textId="77777777" w:rsidR="00745DA2" w:rsidRPr="003146F3" w:rsidRDefault="00745DA2" w:rsidP="00E42862">
            <w:pPr>
              <w:tabs>
                <w:tab w:val="left" w:pos="5990"/>
              </w:tabs>
              <w:ind w:firstLine="5990"/>
            </w:pPr>
          </w:p>
        </w:tc>
      </w:tr>
      <w:tr w:rsidR="00745DA2" w14:paraId="2FF4CFB9" w14:textId="77777777" w:rsidTr="00FA1272">
        <w:tc>
          <w:tcPr>
            <w:tcW w:w="1257" w:type="dxa"/>
          </w:tcPr>
          <w:p w14:paraId="0AB52A1B" w14:textId="77777777" w:rsidR="00745DA2" w:rsidRDefault="00745DA2" w:rsidP="00E42862">
            <w:r>
              <w:t>7</w:t>
            </w:r>
          </w:p>
        </w:tc>
        <w:tc>
          <w:tcPr>
            <w:tcW w:w="4572" w:type="dxa"/>
          </w:tcPr>
          <w:p w14:paraId="631D167D" w14:textId="77777777" w:rsidR="00745DA2" w:rsidRPr="00880650" w:rsidRDefault="00745DA2" w:rsidP="00E42862">
            <w:r w:rsidRPr="00880650">
              <w:t>At least 10% improvement in how people feel about equal opportunities.</w:t>
            </w:r>
          </w:p>
          <w:p w14:paraId="6DF49A97" w14:textId="77777777" w:rsidR="00745DA2" w:rsidRDefault="00745DA2" w:rsidP="00E42862"/>
        </w:tc>
        <w:tc>
          <w:tcPr>
            <w:tcW w:w="1552" w:type="dxa"/>
            <w:shd w:val="clear" w:color="auto" w:fill="92D050"/>
          </w:tcPr>
          <w:p w14:paraId="5BDB833F" w14:textId="77777777" w:rsidR="00745DA2" w:rsidRDefault="00745DA2" w:rsidP="00E42862">
            <w:r>
              <w:t>March 2025</w:t>
            </w:r>
          </w:p>
        </w:tc>
        <w:tc>
          <w:tcPr>
            <w:tcW w:w="7796" w:type="dxa"/>
          </w:tcPr>
          <w:p w14:paraId="0F46F36A" w14:textId="77777777" w:rsidR="00745DA2" w:rsidRDefault="00745DA2" w:rsidP="00745DA2">
            <w:pPr>
              <w:pStyle w:val="ListParagraph"/>
              <w:numPr>
                <w:ilvl w:val="0"/>
                <w:numId w:val="32"/>
              </w:numPr>
            </w:pPr>
            <w:r>
              <w:t xml:space="preserve">No specific actions were tied to this. </w:t>
            </w:r>
          </w:p>
        </w:tc>
      </w:tr>
    </w:tbl>
    <w:p w14:paraId="5DD1B81C" w14:textId="77777777" w:rsidR="00745DA2" w:rsidRDefault="00745DA2" w:rsidP="00745DA2"/>
    <w:p w14:paraId="5190E416" w14:textId="77777777" w:rsidR="00745DA2" w:rsidRDefault="00745DA2" w:rsidP="00745DA2">
      <w:pPr>
        <w:pStyle w:val="Heading2"/>
        <w:spacing w:before="0" w:line="240" w:lineRule="auto"/>
      </w:pPr>
      <w:r>
        <w:t xml:space="preserve">Further Details </w:t>
      </w:r>
    </w:p>
    <w:p w14:paraId="3E8AF8A2" w14:textId="77777777" w:rsidR="00745DA2" w:rsidRDefault="00745DA2" w:rsidP="00745DA2">
      <w:pPr>
        <w:spacing w:line="240" w:lineRule="auto"/>
      </w:pPr>
    </w:p>
    <w:p w14:paraId="7471341E" w14:textId="2FB78950" w:rsidR="00745DA2" w:rsidRDefault="00745DA2" w:rsidP="00745DA2">
      <w:pPr>
        <w:pStyle w:val="Heading3"/>
        <w:spacing w:before="0" w:line="240" w:lineRule="auto"/>
      </w:pPr>
      <w:r>
        <w:t xml:space="preserve">Each division to ensure they have BAME representation within Band 8a and above roles. Report progress back to the </w:t>
      </w:r>
      <w:proofErr w:type="spellStart"/>
      <w:r>
        <w:t>EDGe</w:t>
      </w:r>
      <w:proofErr w:type="spellEnd"/>
      <w:r>
        <w:t xml:space="preserve"> on an annual basis.</w:t>
      </w:r>
    </w:p>
    <w:p w14:paraId="35E957DD" w14:textId="77777777" w:rsidR="00745DA2" w:rsidRPr="005E7D57" w:rsidRDefault="00745DA2" w:rsidP="00745DA2">
      <w:pPr>
        <w:spacing w:after="0" w:line="240" w:lineRule="auto"/>
      </w:pPr>
    </w:p>
    <w:p w14:paraId="53DC8197" w14:textId="7D500885" w:rsidR="00745DA2" w:rsidRDefault="00C70812" w:rsidP="00745DA2">
      <w:pPr>
        <w:spacing w:line="240" w:lineRule="auto"/>
      </w:pPr>
      <w:r>
        <w:lastRenderedPageBreak/>
        <w:t>T</w:t>
      </w:r>
      <w:r w:rsidR="00745DA2">
        <w:t xml:space="preserve">he CSS divisional pilot in recruitment will lead to </w:t>
      </w:r>
      <w:r>
        <w:t>a more equitable promotional process</w:t>
      </w:r>
      <w:r w:rsidR="00745DA2">
        <w:t xml:space="preserve">. We will also need to encourage as many staff at band 8A and above as possible to accurately record their demographic EDI data, as the current figures are skewed by the disproportionate number of staff who have checked the “unknown” ethnicity category. </w:t>
      </w:r>
    </w:p>
    <w:p w14:paraId="4C295E04" w14:textId="77777777" w:rsidR="00C70812" w:rsidRPr="00FD7A1B" w:rsidRDefault="00C70812" w:rsidP="00745DA2">
      <w:pPr>
        <w:spacing w:line="240" w:lineRule="auto"/>
      </w:pPr>
    </w:p>
    <w:p w14:paraId="4D64628F" w14:textId="77777777" w:rsidR="00745DA2" w:rsidRDefault="00745DA2" w:rsidP="00745DA2">
      <w:pPr>
        <w:pStyle w:val="Heading3"/>
        <w:spacing w:line="240" w:lineRule="auto"/>
      </w:pPr>
      <w:r>
        <w:t>All Band 8a and above roles will have a balanced decision-making interview panel in respect of ethnicity.</w:t>
      </w:r>
    </w:p>
    <w:p w14:paraId="1F25E696" w14:textId="77777777" w:rsidR="00745DA2" w:rsidRDefault="00745DA2" w:rsidP="00745DA2">
      <w:pPr>
        <w:spacing w:line="240" w:lineRule="auto"/>
      </w:pPr>
    </w:p>
    <w:p w14:paraId="0C0BCBC8" w14:textId="40F0D3E7" w:rsidR="00745DA2" w:rsidRDefault="00745DA2" w:rsidP="00745DA2">
      <w:pPr>
        <w:spacing w:line="240" w:lineRule="auto"/>
      </w:pPr>
      <w:r>
        <w:t>A number of discussions have been held at the Equality and Diversity Group (</w:t>
      </w:r>
      <w:proofErr w:type="spellStart"/>
      <w:r>
        <w:t>EDGe</w:t>
      </w:r>
      <w:proofErr w:type="spellEnd"/>
      <w:r>
        <w:t xml:space="preserve">) and divisionally and have considered the feasibility of this action in terms of scale vs impact vs burden onto our BAME colleagues in terms of their participation. A pilot scheme </w:t>
      </w:r>
      <w:r w:rsidR="00C70812">
        <w:t xml:space="preserve">has </w:t>
      </w:r>
      <w:r>
        <w:t>commence</w:t>
      </w:r>
      <w:r w:rsidR="00C70812">
        <w:t>d</w:t>
      </w:r>
      <w:r>
        <w:t xml:space="preserve"> in CSS to ensure a sustainable model can be developed for roll out organisationally.  </w:t>
      </w:r>
    </w:p>
    <w:p w14:paraId="3B956F7A" w14:textId="7D82B043" w:rsidR="00745DA2" w:rsidRDefault="00745DA2" w:rsidP="00745DA2">
      <w:pPr>
        <w:spacing w:after="0" w:line="240" w:lineRule="auto"/>
      </w:pPr>
      <w:r w:rsidRPr="00817099">
        <w:t xml:space="preserve">The diversity partners would be made up of a pool of volunteers invited to take part in a range of actions to improve recruitment: eg. sit as part of the interview panels for appointments of band 8A and above, attend training on inclusive recruitment, complete an “interview proforma” and </w:t>
      </w:r>
      <w:r w:rsidR="00C70812">
        <w:t xml:space="preserve">ensure a </w:t>
      </w:r>
      <w:r w:rsidRPr="00817099">
        <w:t xml:space="preserve">clear escalation path to raise any concerns. </w:t>
      </w:r>
    </w:p>
    <w:p w14:paraId="6EE28185" w14:textId="77777777" w:rsidR="00745DA2" w:rsidRPr="00817099" w:rsidRDefault="00745DA2" w:rsidP="00745DA2">
      <w:pPr>
        <w:spacing w:after="0" w:line="240" w:lineRule="auto"/>
      </w:pPr>
    </w:p>
    <w:p w14:paraId="028FC23B" w14:textId="77777777" w:rsidR="00745DA2" w:rsidRPr="00745DA2" w:rsidRDefault="00745DA2" w:rsidP="00745DA2">
      <w:pPr>
        <w:pStyle w:val="Heading3"/>
        <w:spacing w:line="240" w:lineRule="auto"/>
      </w:pPr>
      <w:r w:rsidRPr="00745DA2">
        <w:rPr>
          <w:rStyle w:val="Heading2Char"/>
          <w:b/>
          <w:bCs/>
          <w:sz w:val="24"/>
          <w:szCs w:val="24"/>
        </w:rPr>
        <w:t>Senior leaders/Triumvirate are held accountable for ensuring a de bias approach for recruitment</w:t>
      </w:r>
      <w:r w:rsidRPr="00745DA2">
        <w:t xml:space="preserve">.                                                                                                  </w:t>
      </w:r>
    </w:p>
    <w:p w14:paraId="601B0F19" w14:textId="77777777" w:rsidR="00745DA2" w:rsidRDefault="00745DA2" w:rsidP="00745DA2">
      <w:pPr>
        <w:spacing w:after="0" w:line="240" w:lineRule="auto"/>
      </w:pPr>
    </w:p>
    <w:p w14:paraId="091F1EBC" w14:textId="77777777" w:rsidR="00745DA2" w:rsidRDefault="00745DA2" w:rsidP="00745DA2">
      <w:pPr>
        <w:spacing w:after="0" w:line="240" w:lineRule="auto"/>
      </w:pPr>
      <w:r w:rsidRPr="00817099">
        <w:t xml:space="preserve">The CSS pilot will be seeking support and representation from senior leaders and triumvirates and will review the pilot outcomes to ensure learning is implemented and shared across the organisation. </w:t>
      </w:r>
    </w:p>
    <w:p w14:paraId="09EAC4F4" w14:textId="77777777" w:rsidR="00745DA2" w:rsidRPr="00817099" w:rsidRDefault="00745DA2" w:rsidP="00745DA2">
      <w:pPr>
        <w:spacing w:after="0" w:line="240" w:lineRule="auto"/>
      </w:pPr>
    </w:p>
    <w:p w14:paraId="0E927007" w14:textId="77777777" w:rsidR="00745DA2" w:rsidRDefault="00745DA2" w:rsidP="00745DA2">
      <w:pPr>
        <w:pStyle w:val="Heading3"/>
        <w:spacing w:line="240" w:lineRule="auto"/>
      </w:pPr>
      <w:r>
        <w:t xml:space="preserve">Improved monitoring of our employee relations (all HR) cases which will enable regular reporting.                                                                               </w:t>
      </w:r>
    </w:p>
    <w:p w14:paraId="22E0768A" w14:textId="77777777" w:rsidR="00745DA2" w:rsidRPr="00A90543" w:rsidRDefault="00745DA2" w:rsidP="00745DA2">
      <w:pPr>
        <w:spacing w:after="0" w:line="240" w:lineRule="auto"/>
      </w:pPr>
    </w:p>
    <w:p w14:paraId="1830563D" w14:textId="25B6C1F2" w:rsidR="00745DA2" w:rsidRDefault="00745DA2" w:rsidP="00745DA2">
      <w:pPr>
        <w:spacing w:after="0" w:line="240" w:lineRule="auto"/>
      </w:pPr>
      <w:r w:rsidRPr="00795C69">
        <w:t xml:space="preserve">The HR Assure platform introduced last year has provided the ability to report on all employee relations cases against a range of criteria. </w:t>
      </w:r>
      <w:r>
        <w:t>This can be reflected in the approx. 2%  increase in reporting</w:t>
      </w:r>
      <w:r w:rsidR="00C70812">
        <w:t xml:space="preserve"> of</w:t>
      </w:r>
      <w:r>
        <w:t xml:space="preserve"> incidents that was found in the staff survey used for WRES 2024 data.</w:t>
      </w:r>
    </w:p>
    <w:p w14:paraId="11692E4A" w14:textId="77777777" w:rsidR="00745DA2" w:rsidRDefault="00745DA2" w:rsidP="00745DA2">
      <w:pPr>
        <w:spacing w:after="0" w:line="240" w:lineRule="auto"/>
      </w:pPr>
    </w:p>
    <w:p w14:paraId="0B219558" w14:textId="77777777" w:rsidR="00745DA2" w:rsidRDefault="00745DA2" w:rsidP="00745DA2">
      <w:pPr>
        <w:pStyle w:val="Heading3"/>
        <w:spacing w:line="240" w:lineRule="auto"/>
      </w:pPr>
      <w:r>
        <w:t xml:space="preserve">Staff are active allies and know how to appropriately challenge behaviours and support their colleagues. </w:t>
      </w:r>
    </w:p>
    <w:p w14:paraId="226AF6E2" w14:textId="77777777" w:rsidR="00745DA2" w:rsidRDefault="00745DA2" w:rsidP="00745DA2">
      <w:pPr>
        <w:spacing w:after="0" w:line="240" w:lineRule="auto"/>
      </w:pPr>
    </w:p>
    <w:p w14:paraId="7C8E127E" w14:textId="77777777" w:rsidR="00745DA2" w:rsidRPr="00FF5D30" w:rsidRDefault="00745DA2" w:rsidP="00745DA2">
      <w:pPr>
        <w:spacing w:after="0" w:line="240" w:lineRule="auto"/>
      </w:pPr>
      <w:r>
        <w:t xml:space="preserve">We have commenced a programme of Active Bystander training across areas identified from staff survey data and by division. This will continue during the Autumn of 2024, with the aim of three areas per division receiving this training by the end of 2024. </w:t>
      </w:r>
    </w:p>
    <w:p w14:paraId="7168562B" w14:textId="77777777" w:rsidR="00745DA2" w:rsidRDefault="00745DA2" w:rsidP="00745DA2">
      <w:pPr>
        <w:spacing w:after="0" w:line="240" w:lineRule="auto"/>
      </w:pPr>
    </w:p>
    <w:p w14:paraId="4ABEAD20" w14:textId="77777777" w:rsidR="00745DA2" w:rsidRPr="000033D9" w:rsidRDefault="00745DA2" w:rsidP="00745DA2">
      <w:pPr>
        <w:pStyle w:val="Heading3"/>
        <w:spacing w:line="240" w:lineRule="auto"/>
      </w:pPr>
      <w:r>
        <w:t>BAME colleagues feel more confident in speaking up.</w:t>
      </w:r>
      <w:r w:rsidRPr="00FD7A1B">
        <w:t xml:space="preserve"> </w:t>
      </w:r>
      <w:r>
        <w:t xml:space="preserve">                                              </w:t>
      </w:r>
    </w:p>
    <w:p w14:paraId="1004880F" w14:textId="77777777" w:rsidR="00745DA2" w:rsidRDefault="00745DA2" w:rsidP="00745DA2">
      <w:pPr>
        <w:spacing w:after="0" w:line="240" w:lineRule="auto"/>
      </w:pPr>
    </w:p>
    <w:p w14:paraId="18E45C5A" w14:textId="77777777" w:rsidR="00745DA2" w:rsidRDefault="00745DA2" w:rsidP="00745DA2">
      <w:pPr>
        <w:spacing w:after="0" w:line="240" w:lineRule="auto"/>
      </w:pPr>
      <w:r>
        <w:t xml:space="preserve">We have been working since 2023 on embedding cultural changes that allow for BAME colleagues to feel more confident in speaking up whenever they face discrimination. This includes the promotion of the freedom to speak up platform and Datix reporting system. </w:t>
      </w:r>
    </w:p>
    <w:p w14:paraId="0BB7A551" w14:textId="77777777" w:rsidR="00745DA2" w:rsidRDefault="00745DA2" w:rsidP="00745DA2">
      <w:pPr>
        <w:spacing w:after="0" w:line="240" w:lineRule="auto"/>
      </w:pPr>
      <w:r>
        <w:lastRenderedPageBreak/>
        <w:t>Initiatives include:</w:t>
      </w:r>
    </w:p>
    <w:p w14:paraId="1F4DC5E1" w14:textId="77777777" w:rsidR="00745DA2" w:rsidRDefault="00745DA2" w:rsidP="00745DA2">
      <w:pPr>
        <w:pStyle w:val="ListParagraph"/>
        <w:numPr>
          <w:ilvl w:val="0"/>
          <w:numId w:val="28"/>
        </w:numPr>
        <w:spacing w:after="0" w:line="240" w:lineRule="auto"/>
      </w:pPr>
      <w:r>
        <w:t xml:space="preserve">Promoting our freedom to speak up scheme where a freedom to speak up guardian can support and guide them through the process of reporting an incident. </w:t>
      </w:r>
    </w:p>
    <w:p w14:paraId="05AD1E16" w14:textId="77777777" w:rsidR="00745DA2" w:rsidRDefault="00745DA2" w:rsidP="00745DA2">
      <w:pPr>
        <w:pStyle w:val="ListParagraph"/>
        <w:numPr>
          <w:ilvl w:val="0"/>
          <w:numId w:val="28"/>
        </w:numPr>
        <w:spacing w:after="0" w:line="240" w:lineRule="auto"/>
      </w:pPr>
      <w:r>
        <w:t xml:space="preserve">Promoting the Datix reporting system. </w:t>
      </w:r>
    </w:p>
    <w:p w14:paraId="5D67E132" w14:textId="77777777" w:rsidR="00745DA2" w:rsidRDefault="00745DA2" w:rsidP="00745DA2">
      <w:pPr>
        <w:pStyle w:val="ListParagraph"/>
        <w:numPr>
          <w:ilvl w:val="0"/>
          <w:numId w:val="28"/>
        </w:numPr>
        <w:spacing w:after="0" w:line="240" w:lineRule="auto"/>
      </w:pPr>
      <w:r>
        <w:t xml:space="preserve">Promoting our Civility and Respect policy and framework which provides guidance on how to start a productive conversation to move forwards from an incident. </w:t>
      </w:r>
    </w:p>
    <w:p w14:paraId="519CA244" w14:textId="77777777" w:rsidR="00AC7095" w:rsidRDefault="00AC7095" w:rsidP="00AC7095">
      <w:pPr>
        <w:pStyle w:val="ListParagraph"/>
        <w:spacing w:after="0" w:line="240" w:lineRule="auto"/>
        <w:ind w:left="1080"/>
      </w:pPr>
    </w:p>
    <w:p w14:paraId="753725A2" w14:textId="77777777" w:rsidR="00745DA2" w:rsidRDefault="00745DA2" w:rsidP="00745DA2">
      <w:pPr>
        <w:spacing w:after="0" w:line="240" w:lineRule="auto"/>
      </w:pPr>
      <w:r>
        <w:t xml:space="preserve">However, we are aware that there are fewer incidents being reported through these systems than are recorded in the Staff Survey results, so we are looking into: whether BAME staff feel confident and comfortable using these existing mechanisms to report incidents, if not, why not, and how we can improve the systems so they are better fit for purpose. </w:t>
      </w:r>
    </w:p>
    <w:p w14:paraId="5A649B63" w14:textId="77777777" w:rsidR="00745DA2" w:rsidRDefault="00745DA2" w:rsidP="00745DA2">
      <w:pPr>
        <w:spacing w:after="0" w:line="240" w:lineRule="auto"/>
      </w:pPr>
    </w:p>
    <w:p w14:paraId="34AC66CB" w14:textId="77777777" w:rsidR="00745DA2" w:rsidRDefault="00745DA2" w:rsidP="00745DA2">
      <w:pPr>
        <w:spacing w:after="0" w:line="240" w:lineRule="auto"/>
      </w:pPr>
    </w:p>
    <w:p w14:paraId="54F05994" w14:textId="77777777" w:rsidR="00745DA2" w:rsidRDefault="00745DA2" w:rsidP="00745DA2">
      <w:pPr>
        <w:pStyle w:val="Heading2"/>
        <w:spacing w:line="240" w:lineRule="auto"/>
      </w:pPr>
      <w:r>
        <w:t>‘Hot spot’ areas on staff development which require improvement are monitored regularly and are addressed locally.</w:t>
      </w:r>
    </w:p>
    <w:p w14:paraId="23A968D2" w14:textId="77777777" w:rsidR="00745DA2" w:rsidRPr="00FF5D30" w:rsidRDefault="00745DA2" w:rsidP="00745DA2">
      <w:pPr>
        <w:spacing w:after="0" w:line="240" w:lineRule="auto"/>
      </w:pPr>
    </w:p>
    <w:p w14:paraId="352702E7" w14:textId="77741289" w:rsidR="00745DA2" w:rsidRDefault="00745DA2" w:rsidP="00745DA2">
      <w:pPr>
        <w:spacing w:after="0" w:line="240" w:lineRule="auto"/>
      </w:pPr>
      <w:r w:rsidRPr="0011644B">
        <w:t xml:space="preserve">The Trust’s divisional Equality and Diversity Groups have scrutinised the data further by assessing the likelihood of </w:t>
      </w:r>
      <w:r>
        <w:t>BAME</w:t>
      </w:r>
      <w:r w:rsidRPr="0011644B">
        <w:t xml:space="preserve"> candidates and </w:t>
      </w:r>
      <w:r w:rsidR="00CB4094">
        <w:t>w</w:t>
      </w:r>
      <w:r w:rsidRPr="0011644B">
        <w:t xml:space="preserve">hite candidates to be appointed from shortlisting within their local areas. The intention is so that they can identify any hot spot areas. </w:t>
      </w:r>
    </w:p>
    <w:p w14:paraId="34A71DC1" w14:textId="77777777" w:rsidR="00745DA2" w:rsidRPr="00745DA2" w:rsidRDefault="00745DA2" w:rsidP="00745DA2">
      <w:pPr>
        <w:spacing w:after="0" w:line="240" w:lineRule="auto"/>
        <w:rPr>
          <w:rFonts w:cstheme="minorHAnsi"/>
        </w:rPr>
      </w:pPr>
    </w:p>
    <w:p w14:paraId="0A2D33AF" w14:textId="77777777" w:rsidR="00745DA2" w:rsidRPr="00745DA2" w:rsidRDefault="00745DA2" w:rsidP="00745DA2">
      <w:pPr>
        <w:pStyle w:val="Heading3"/>
        <w:spacing w:line="240" w:lineRule="auto"/>
        <w:rPr>
          <w:rFonts w:asciiTheme="minorHAnsi" w:hAnsiTheme="minorHAnsi" w:cstheme="minorHAnsi"/>
          <w:b w:val="0"/>
          <w:bCs w:val="0"/>
          <w:sz w:val="22"/>
          <w:szCs w:val="22"/>
        </w:rPr>
      </w:pPr>
      <w:r w:rsidRPr="00745DA2">
        <w:rPr>
          <w:rFonts w:asciiTheme="minorHAnsi" w:hAnsiTheme="minorHAnsi" w:cstheme="minorHAnsi"/>
          <w:b w:val="0"/>
          <w:bCs w:val="0"/>
          <w:sz w:val="22"/>
          <w:szCs w:val="22"/>
        </w:rPr>
        <w:t>With the hot spot areas identified, divisions are encouraged to discuss how they suggest they will improve for example do they need refresher unconscious bias or recruitment training.</w:t>
      </w:r>
    </w:p>
    <w:p w14:paraId="03246764" w14:textId="77777777" w:rsidR="00745DA2" w:rsidRDefault="00745DA2" w:rsidP="00745DA2">
      <w:pPr>
        <w:spacing w:after="0" w:line="240" w:lineRule="auto"/>
      </w:pPr>
    </w:p>
    <w:p w14:paraId="269F1E41" w14:textId="77777777" w:rsidR="00745DA2" w:rsidRPr="00751C8D" w:rsidRDefault="00745DA2" w:rsidP="00745DA2">
      <w:pPr>
        <w:pStyle w:val="Heading3"/>
        <w:spacing w:line="240" w:lineRule="auto"/>
        <w:rPr>
          <w:rStyle w:val="Heading3Char"/>
        </w:rPr>
      </w:pPr>
      <w:r>
        <w:t xml:space="preserve">Increased BAME representation participating in decision making forums and other development opportunities.                                                                        </w:t>
      </w:r>
    </w:p>
    <w:p w14:paraId="41585C90" w14:textId="77777777" w:rsidR="00745DA2" w:rsidRDefault="00745DA2" w:rsidP="00745DA2">
      <w:pPr>
        <w:spacing w:after="0" w:line="240" w:lineRule="auto"/>
      </w:pPr>
    </w:p>
    <w:p w14:paraId="75E3CC96" w14:textId="77777777" w:rsidR="00745DA2" w:rsidRDefault="00745DA2" w:rsidP="00745DA2">
      <w:pPr>
        <w:spacing w:after="0" w:line="240" w:lineRule="auto"/>
      </w:pPr>
      <w:r>
        <w:t xml:space="preserve">There is not currently a mechanism in place to monitor this item, but we could create and promote a simple survey for our decision making groups to establish our current baseline position and evaluate to consider potential areas of focus. It is anticipated that this could be completed during Q3 of 2024.  </w:t>
      </w:r>
    </w:p>
    <w:p w14:paraId="3F2C9340" w14:textId="77777777" w:rsidR="00745DA2" w:rsidRDefault="00745DA2" w:rsidP="00745DA2">
      <w:pPr>
        <w:spacing w:after="0" w:line="240" w:lineRule="auto"/>
      </w:pPr>
    </w:p>
    <w:p w14:paraId="2C19C25D" w14:textId="77777777" w:rsidR="00745DA2" w:rsidRPr="002A6C72" w:rsidRDefault="00745DA2" w:rsidP="00745DA2">
      <w:pPr>
        <w:pStyle w:val="Heading3"/>
        <w:spacing w:line="240" w:lineRule="auto"/>
        <w:rPr>
          <w:rStyle w:val="Heading3Char"/>
        </w:rPr>
      </w:pPr>
      <w:r>
        <w:t>At least 10% improvement in how people feel about equal opportunities.</w:t>
      </w:r>
    </w:p>
    <w:p w14:paraId="73422187" w14:textId="77777777" w:rsidR="00745DA2" w:rsidRDefault="00745DA2" w:rsidP="00745DA2">
      <w:pPr>
        <w:spacing w:after="0" w:line="240" w:lineRule="auto"/>
      </w:pPr>
    </w:p>
    <w:p w14:paraId="4B0D3DA4" w14:textId="77777777" w:rsidR="00745DA2" w:rsidRDefault="00745DA2" w:rsidP="00745DA2">
      <w:pPr>
        <w:spacing w:after="0" w:line="240" w:lineRule="auto"/>
      </w:pPr>
      <w:r>
        <w:t>This is not due to be achieved until March 2025 but we appear to have set good foundations.</w:t>
      </w:r>
      <w:r w:rsidRPr="006331D7">
        <w:t xml:space="preserve"> This has improved </w:t>
      </w:r>
      <w:r>
        <w:t>by exactly 10%</w:t>
      </w:r>
      <w:r w:rsidRPr="006331D7">
        <w:t xml:space="preserve"> for our B</w:t>
      </w:r>
      <w:r>
        <w:t>A</w:t>
      </w:r>
      <w:r w:rsidRPr="006331D7">
        <w:t xml:space="preserve">ME colleagues compared to last year </w:t>
      </w:r>
      <w:r>
        <w:t xml:space="preserve">– but the number of </w:t>
      </w:r>
      <w:r w:rsidRPr="005B3A7B">
        <w:rPr>
          <w:i/>
          <w:iCs/>
        </w:rPr>
        <w:t>white</w:t>
      </w:r>
      <w:r>
        <w:t xml:space="preserve"> staff saying that they </w:t>
      </w:r>
      <w:r w:rsidRPr="00F6455E">
        <w:t>believ</w:t>
      </w:r>
      <w:r>
        <w:t>e</w:t>
      </w:r>
      <w:r w:rsidRPr="00F6455E">
        <w:t xml:space="preserve"> that the Trust provides equal opportunities for career progression or promotion</w:t>
      </w:r>
      <w:r>
        <w:t xml:space="preserve"> stayed basically static.  </w:t>
      </w:r>
    </w:p>
    <w:p w14:paraId="56029152" w14:textId="77777777" w:rsidR="00745DA2" w:rsidRDefault="00745DA2" w:rsidP="00745DA2">
      <w:pPr>
        <w:spacing w:after="0" w:line="240" w:lineRule="auto"/>
      </w:pPr>
    </w:p>
    <w:p w14:paraId="4D0A8552" w14:textId="671D6924" w:rsidR="00745DA2" w:rsidRPr="00D102F3" w:rsidRDefault="00745DA2" w:rsidP="00D102F3">
      <w:pPr>
        <w:spacing w:after="0" w:line="240" w:lineRule="auto"/>
      </w:pPr>
      <w:r>
        <w:t>This suggests that we need to take care that while we specifically promote opportunities for BAME staff members as needed, we need to promote all equal opportunities campaigns to the widest range of staff</w:t>
      </w:r>
      <w:r w:rsidR="007052F2">
        <w:t>.</w:t>
      </w:r>
      <w:r>
        <w:t xml:space="preserve"> </w:t>
      </w:r>
    </w:p>
    <w:sectPr w:rsidR="00745DA2" w:rsidRPr="00D102F3" w:rsidSect="00EF5E34">
      <w:headerReference w:type="default" r:id="rId7"/>
      <w:footerReference w:type="default" r:id="rId8"/>
      <w:pgSz w:w="16838" w:h="11906" w:orient="landscape"/>
      <w:pgMar w:top="1134" w:right="993" w:bottom="1135" w:left="851"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6377" w14:textId="77777777" w:rsidR="00334F64" w:rsidRDefault="00334F64" w:rsidP="008D46A9">
      <w:pPr>
        <w:spacing w:after="0" w:line="240" w:lineRule="auto"/>
      </w:pPr>
      <w:r>
        <w:separator/>
      </w:r>
    </w:p>
  </w:endnote>
  <w:endnote w:type="continuationSeparator" w:id="0">
    <w:p w14:paraId="28396DCD" w14:textId="77777777" w:rsidR="00334F64" w:rsidRDefault="00334F64" w:rsidP="008D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3D1F" w14:textId="77777777" w:rsidR="004C1ED6" w:rsidRPr="005F234C" w:rsidRDefault="004C1ED6" w:rsidP="00E35337">
    <w:pPr>
      <w:jc w:val="center"/>
    </w:pPr>
    <w:r>
      <w:rPr>
        <w:noProof/>
        <w:lang w:eastAsia="en-GB"/>
      </w:rPr>
      <w:drawing>
        <wp:inline distT="0" distB="0" distL="0" distR="0" wp14:anchorId="318E3CFB" wp14:editId="38C63FD7">
          <wp:extent cx="5457825" cy="3429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825" cy="342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BBDF" w14:textId="77777777" w:rsidR="00334F64" w:rsidRDefault="00334F64" w:rsidP="008D46A9">
      <w:pPr>
        <w:spacing w:after="0" w:line="240" w:lineRule="auto"/>
      </w:pPr>
      <w:r>
        <w:separator/>
      </w:r>
    </w:p>
  </w:footnote>
  <w:footnote w:type="continuationSeparator" w:id="0">
    <w:p w14:paraId="0E849949" w14:textId="77777777" w:rsidR="00334F64" w:rsidRDefault="00334F64" w:rsidP="008D4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F7FD" w14:textId="77777777" w:rsidR="001353AE" w:rsidRDefault="00631811">
    <w:pPr>
      <w:pStyle w:val="Header"/>
    </w:pPr>
    <w:r>
      <w:rPr>
        <w:noProof/>
        <w:lang w:eastAsia="en-GB"/>
      </w:rPr>
      <w:drawing>
        <wp:anchor distT="0" distB="0" distL="114300" distR="114300" simplePos="0" relativeHeight="251660288" behindDoc="0" locked="0" layoutInCell="1" allowOverlap="1" wp14:anchorId="00E978D4" wp14:editId="17CD143E">
          <wp:simplePos x="0" y="0"/>
          <wp:positionH relativeFrom="page">
            <wp:posOffset>28575</wp:posOffset>
          </wp:positionH>
          <wp:positionV relativeFrom="paragraph">
            <wp:posOffset>-203835</wp:posOffset>
          </wp:positionV>
          <wp:extent cx="10659223" cy="781050"/>
          <wp:effectExtent l="0" t="0" r="889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30"/>
                  <a:stretch/>
                </pic:blipFill>
                <pic:spPr bwMode="auto">
                  <a:xfrm>
                    <a:off x="0" y="0"/>
                    <a:ext cx="10668901" cy="7817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2CA"/>
    <w:multiLevelType w:val="multilevel"/>
    <w:tmpl w:val="E81C2A5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7446F57"/>
    <w:multiLevelType w:val="hybridMultilevel"/>
    <w:tmpl w:val="3652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85F2F"/>
    <w:multiLevelType w:val="hybridMultilevel"/>
    <w:tmpl w:val="4BFED1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B4A4D"/>
    <w:multiLevelType w:val="hybridMultilevel"/>
    <w:tmpl w:val="6504CB0C"/>
    <w:lvl w:ilvl="0" w:tplc="0262B3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75C20"/>
    <w:multiLevelType w:val="multilevel"/>
    <w:tmpl w:val="146845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213466"/>
    <w:multiLevelType w:val="hybridMultilevel"/>
    <w:tmpl w:val="8846723E"/>
    <w:lvl w:ilvl="0" w:tplc="BC4094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338B3"/>
    <w:multiLevelType w:val="multilevel"/>
    <w:tmpl w:val="F56AA070"/>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C47832"/>
    <w:multiLevelType w:val="hybridMultilevel"/>
    <w:tmpl w:val="BDF6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30227"/>
    <w:multiLevelType w:val="hybridMultilevel"/>
    <w:tmpl w:val="88221334"/>
    <w:lvl w:ilvl="0" w:tplc="FF5E5B74">
      <w:start w:val="1"/>
      <w:numFmt w:val="bullet"/>
      <w:lvlText w:val=""/>
      <w:lvlJc w:val="left"/>
      <w:pPr>
        <w:tabs>
          <w:tab w:val="num" w:pos="720"/>
        </w:tabs>
        <w:ind w:left="720" w:hanging="360"/>
      </w:pPr>
      <w:rPr>
        <w:rFonts w:ascii="Wingdings 3" w:hAnsi="Wingdings 3" w:hint="default"/>
      </w:rPr>
    </w:lvl>
    <w:lvl w:ilvl="1" w:tplc="CDA81C82" w:tentative="1">
      <w:start w:val="1"/>
      <w:numFmt w:val="bullet"/>
      <w:lvlText w:val=""/>
      <w:lvlJc w:val="left"/>
      <w:pPr>
        <w:tabs>
          <w:tab w:val="num" w:pos="1440"/>
        </w:tabs>
        <w:ind w:left="1440" w:hanging="360"/>
      </w:pPr>
      <w:rPr>
        <w:rFonts w:ascii="Wingdings 3" w:hAnsi="Wingdings 3" w:hint="default"/>
      </w:rPr>
    </w:lvl>
    <w:lvl w:ilvl="2" w:tplc="FF840248" w:tentative="1">
      <w:start w:val="1"/>
      <w:numFmt w:val="bullet"/>
      <w:lvlText w:val=""/>
      <w:lvlJc w:val="left"/>
      <w:pPr>
        <w:tabs>
          <w:tab w:val="num" w:pos="2160"/>
        </w:tabs>
        <w:ind w:left="2160" w:hanging="360"/>
      </w:pPr>
      <w:rPr>
        <w:rFonts w:ascii="Wingdings 3" w:hAnsi="Wingdings 3" w:hint="default"/>
      </w:rPr>
    </w:lvl>
    <w:lvl w:ilvl="3" w:tplc="CB24D4A2" w:tentative="1">
      <w:start w:val="1"/>
      <w:numFmt w:val="bullet"/>
      <w:lvlText w:val=""/>
      <w:lvlJc w:val="left"/>
      <w:pPr>
        <w:tabs>
          <w:tab w:val="num" w:pos="2880"/>
        </w:tabs>
        <w:ind w:left="2880" w:hanging="360"/>
      </w:pPr>
      <w:rPr>
        <w:rFonts w:ascii="Wingdings 3" w:hAnsi="Wingdings 3" w:hint="default"/>
      </w:rPr>
    </w:lvl>
    <w:lvl w:ilvl="4" w:tplc="F2AAE494" w:tentative="1">
      <w:start w:val="1"/>
      <w:numFmt w:val="bullet"/>
      <w:lvlText w:val=""/>
      <w:lvlJc w:val="left"/>
      <w:pPr>
        <w:tabs>
          <w:tab w:val="num" w:pos="3600"/>
        </w:tabs>
        <w:ind w:left="3600" w:hanging="360"/>
      </w:pPr>
      <w:rPr>
        <w:rFonts w:ascii="Wingdings 3" w:hAnsi="Wingdings 3" w:hint="default"/>
      </w:rPr>
    </w:lvl>
    <w:lvl w:ilvl="5" w:tplc="938C01F2" w:tentative="1">
      <w:start w:val="1"/>
      <w:numFmt w:val="bullet"/>
      <w:lvlText w:val=""/>
      <w:lvlJc w:val="left"/>
      <w:pPr>
        <w:tabs>
          <w:tab w:val="num" w:pos="4320"/>
        </w:tabs>
        <w:ind w:left="4320" w:hanging="360"/>
      </w:pPr>
      <w:rPr>
        <w:rFonts w:ascii="Wingdings 3" w:hAnsi="Wingdings 3" w:hint="default"/>
      </w:rPr>
    </w:lvl>
    <w:lvl w:ilvl="6" w:tplc="F788B49C" w:tentative="1">
      <w:start w:val="1"/>
      <w:numFmt w:val="bullet"/>
      <w:lvlText w:val=""/>
      <w:lvlJc w:val="left"/>
      <w:pPr>
        <w:tabs>
          <w:tab w:val="num" w:pos="5040"/>
        </w:tabs>
        <w:ind w:left="5040" w:hanging="360"/>
      </w:pPr>
      <w:rPr>
        <w:rFonts w:ascii="Wingdings 3" w:hAnsi="Wingdings 3" w:hint="default"/>
      </w:rPr>
    </w:lvl>
    <w:lvl w:ilvl="7" w:tplc="7C4C12C0" w:tentative="1">
      <w:start w:val="1"/>
      <w:numFmt w:val="bullet"/>
      <w:lvlText w:val=""/>
      <w:lvlJc w:val="left"/>
      <w:pPr>
        <w:tabs>
          <w:tab w:val="num" w:pos="5760"/>
        </w:tabs>
        <w:ind w:left="5760" w:hanging="360"/>
      </w:pPr>
      <w:rPr>
        <w:rFonts w:ascii="Wingdings 3" w:hAnsi="Wingdings 3" w:hint="default"/>
      </w:rPr>
    </w:lvl>
    <w:lvl w:ilvl="8" w:tplc="9018950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0197287"/>
    <w:multiLevelType w:val="hybridMultilevel"/>
    <w:tmpl w:val="BB52F2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97A3CC1"/>
    <w:multiLevelType w:val="hybridMultilevel"/>
    <w:tmpl w:val="0BF28874"/>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11" w15:restartNumberingAfterBreak="0">
    <w:nsid w:val="3B171E04"/>
    <w:multiLevelType w:val="multilevel"/>
    <w:tmpl w:val="FFBEA152"/>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EA16388"/>
    <w:multiLevelType w:val="multilevel"/>
    <w:tmpl w:val="14A205D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13" w15:restartNumberingAfterBreak="0">
    <w:nsid w:val="43F42385"/>
    <w:multiLevelType w:val="hybridMultilevel"/>
    <w:tmpl w:val="BAB405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4C57C06"/>
    <w:multiLevelType w:val="hybridMultilevel"/>
    <w:tmpl w:val="736447CC"/>
    <w:lvl w:ilvl="0" w:tplc="9BB034B4">
      <w:start w:val="2"/>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E1527"/>
    <w:multiLevelType w:val="hybridMultilevel"/>
    <w:tmpl w:val="133E9A22"/>
    <w:lvl w:ilvl="0" w:tplc="A492DEF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14E25"/>
    <w:multiLevelType w:val="hybridMultilevel"/>
    <w:tmpl w:val="72242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F8448F5"/>
    <w:multiLevelType w:val="hybridMultilevel"/>
    <w:tmpl w:val="6FF203B8"/>
    <w:lvl w:ilvl="0" w:tplc="0262B3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40ACC"/>
    <w:multiLevelType w:val="hybridMultilevel"/>
    <w:tmpl w:val="B75E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140B6"/>
    <w:multiLevelType w:val="multilevel"/>
    <w:tmpl w:val="A372CA16"/>
    <w:lvl w:ilvl="0">
      <w:start w:val="1"/>
      <w:numFmt w:val="decimal"/>
      <w:lvlText w:val="%1."/>
      <w:lvlJc w:val="left"/>
      <w:pPr>
        <w:ind w:left="360" w:hanging="360"/>
      </w:pPr>
      <w:rPr>
        <w:rFonts w:hint="default"/>
        <w:b w:val="0"/>
        <w:color w:val="000000"/>
        <w:u w:val="none"/>
      </w:rPr>
    </w:lvl>
    <w:lvl w:ilvl="1">
      <w:start w:val="1"/>
      <w:numFmt w:val="decimal"/>
      <w:lvlText w:val="%1.%2."/>
      <w:lvlJc w:val="left"/>
      <w:pPr>
        <w:ind w:left="1440" w:hanging="720"/>
      </w:pPr>
      <w:rPr>
        <w:rFonts w:hint="default"/>
        <w:b w:val="0"/>
        <w:color w:val="000000"/>
        <w:u w:val="none"/>
      </w:rPr>
    </w:lvl>
    <w:lvl w:ilvl="2">
      <w:start w:val="1"/>
      <w:numFmt w:val="decimal"/>
      <w:lvlText w:val="%1.%2.%3."/>
      <w:lvlJc w:val="left"/>
      <w:pPr>
        <w:ind w:left="2160" w:hanging="720"/>
      </w:pPr>
      <w:rPr>
        <w:rFonts w:hint="default"/>
        <w:b w:val="0"/>
        <w:color w:val="000000"/>
        <w:u w:val="none"/>
      </w:rPr>
    </w:lvl>
    <w:lvl w:ilvl="3">
      <w:start w:val="1"/>
      <w:numFmt w:val="decimal"/>
      <w:lvlText w:val="%1.%2.%3.%4."/>
      <w:lvlJc w:val="left"/>
      <w:pPr>
        <w:ind w:left="3240" w:hanging="1080"/>
      </w:pPr>
      <w:rPr>
        <w:rFonts w:hint="default"/>
        <w:b w:val="0"/>
        <w:color w:val="000000"/>
        <w:u w:val="none"/>
      </w:rPr>
    </w:lvl>
    <w:lvl w:ilvl="4">
      <w:start w:val="1"/>
      <w:numFmt w:val="decimal"/>
      <w:lvlText w:val="%1.%2.%3.%4.%5."/>
      <w:lvlJc w:val="left"/>
      <w:pPr>
        <w:ind w:left="3960" w:hanging="1080"/>
      </w:pPr>
      <w:rPr>
        <w:rFonts w:hint="default"/>
        <w:b w:val="0"/>
        <w:color w:val="000000"/>
        <w:u w:val="none"/>
      </w:rPr>
    </w:lvl>
    <w:lvl w:ilvl="5">
      <w:start w:val="1"/>
      <w:numFmt w:val="decimal"/>
      <w:lvlText w:val="%1.%2.%3.%4.%5.%6."/>
      <w:lvlJc w:val="left"/>
      <w:pPr>
        <w:ind w:left="5040" w:hanging="1440"/>
      </w:pPr>
      <w:rPr>
        <w:rFonts w:hint="default"/>
        <w:b w:val="0"/>
        <w:color w:val="000000"/>
        <w:u w:val="none"/>
      </w:rPr>
    </w:lvl>
    <w:lvl w:ilvl="6">
      <w:start w:val="1"/>
      <w:numFmt w:val="decimal"/>
      <w:lvlText w:val="%1.%2.%3.%4.%5.%6.%7."/>
      <w:lvlJc w:val="left"/>
      <w:pPr>
        <w:ind w:left="5760" w:hanging="1440"/>
      </w:pPr>
      <w:rPr>
        <w:rFonts w:hint="default"/>
        <w:b w:val="0"/>
        <w:color w:val="000000"/>
        <w:u w:val="none"/>
      </w:rPr>
    </w:lvl>
    <w:lvl w:ilvl="7">
      <w:start w:val="1"/>
      <w:numFmt w:val="decimal"/>
      <w:lvlText w:val="%1.%2.%3.%4.%5.%6.%7.%8."/>
      <w:lvlJc w:val="left"/>
      <w:pPr>
        <w:ind w:left="6840" w:hanging="1800"/>
      </w:pPr>
      <w:rPr>
        <w:rFonts w:hint="default"/>
        <w:b w:val="0"/>
        <w:color w:val="000000"/>
        <w:u w:val="none"/>
      </w:rPr>
    </w:lvl>
    <w:lvl w:ilvl="8">
      <w:start w:val="1"/>
      <w:numFmt w:val="decimal"/>
      <w:lvlText w:val="%1.%2.%3.%4.%5.%6.%7.%8.%9."/>
      <w:lvlJc w:val="left"/>
      <w:pPr>
        <w:ind w:left="7560" w:hanging="1800"/>
      </w:pPr>
      <w:rPr>
        <w:rFonts w:hint="default"/>
        <w:b w:val="0"/>
        <w:color w:val="000000"/>
        <w:u w:val="none"/>
      </w:rPr>
    </w:lvl>
  </w:abstractNum>
  <w:abstractNum w:abstractNumId="20" w15:restartNumberingAfterBreak="0">
    <w:nsid w:val="57692AC1"/>
    <w:multiLevelType w:val="hybridMultilevel"/>
    <w:tmpl w:val="DF4E58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77A1E23"/>
    <w:multiLevelType w:val="hybridMultilevel"/>
    <w:tmpl w:val="D5D011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922BF9"/>
    <w:multiLevelType w:val="hybridMultilevel"/>
    <w:tmpl w:val="EC1CB53E"/>
    <w:lvl w:ilvl="0" w:tplc="74AC8B5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95015D"/>
    <w:multiLevelType w:val="hybridMultilevel"/>
    <w:tmpl w:val="049629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DDF0AB3"/>
    <w:multiLevelType w:val="hybridMultilevel"/>
    <w:tmpl w:val="54C0A8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FB43A43"/>
    <w:multiLevelType w:val="hybridMultilevel"/>
    <w:tmpl w:val="D5D011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2D7293"/>
    <w:multiLevelType w:val="hybridMultilevel"/>
    <w:tmpl w:val="4198E952"/>
    <w:lvl w:ilvl="0" w:tplc="B768BD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9964BA"/>
    <w:multiLevelType w:val="hybridMultilevel"/>
    <w:tmpl w:val="E3CC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E3D6F"/>
    <w:multiLevelType w:val="multilevel"/>
    <w:tmpl w:val="F56AA070"/>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F91FED"/>
    <w:multiLevelType w:val="hybridMultilevel"/>
    <w:tmpl w:val="ED5C6A4A"/>
    <w:lvl w:ilvl="0" w:tplc="0262B3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397322">
    <w:abstractNumId w:val="26"/>
  </w:num>
  <w:num w:numId="2" w16cid:durableId="1943294065">
    <w:abstractNumId w:val="5"/>
  </w:num>
  <w:num w:numId="3" w16cid:durableId="308023758">
    <w:abstractNumId w:val="6"/>
  </w:num>
  <w:num w:numId="4" w16cid:durableId="1033725858">
    <w:abstractNumId w:val="2"/>
  </w:num>
  <w:num w:numId="5" w16cid:durableId="61492946">
    <w:abstractNumId w:val="25"/>
  </w:num>
  <w:num w:numId="6" w16cid:durableId="958531353">
    <w:abstractNumId w:val="21"/>
  </w:num>
  <w:num w:numId="7" w16cid:durableId="1027681810">
    <w:abstractNumId w:val="15"/>
  </w:num>
  <w:num w:numId="8" w16cid:durableId="239481711">
    <w:abstractNumId w:val="6"/>
  </w:num>
  <w:num w:numId="9" w16cid:durableId="197623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38110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374099">
    <w:abstractNumId w:val="20"/>
  </w:num>
  <w:num w:numId="12" w16cid:durableId="1123839825">
    <w:abstractNumId w:val="9"/>
  </w:num>
  <w:num w:numId="13" w16cid:durableId="731775935">
    <w:abstractNumId w:val="4"/>
  </w:num>
  <w:num w:numId="14" w16cid:durableId="596867864">
    <w:abstractNumId w:val="16"/>
  </w:num>
  <w:num w:numId="15" w16cid:durableId="1164391139">
    <w:abstractNumId w:val="14"/>
  </w:num>
  <w:num w:numId="16" w16cid:durableId="601300231">
    <w:abstractNumId w:val="28"/>
  </w:num>
  <w:num w:numId="17" w16cid:durableId="77294585">
    <w:abstractNumId w:val="12"/>
  </w:num>
  <w:num w:numId="18" w16cid:durableId="1565027412">
    <w:abstractNumId w:val="7"/>
  </w:num>
  <w:num w:numId="19" w16cid:durableId="1378043098">
    <w:abstractNumId w:val="0"/>
  </w:num>
  <w:num w:numId="20" w16cid:durableId="494489776">
    <w:abstractNumId w:val="10"/>
  </w:num>
  <w:num w:numId="21" w16cid:durableId="1826388661">
    <w:abstractNumId w:val="18"/>
  </w:num>
  <w:num w:numId="22" w16cid:durableId="620965020">
    <w:abstractNumId w:val="19"/>
  </w:num>
  <w:num w:numId="23" w16cid:durableId="1121069574">
    <w:abstractNumId w:val="11"/>
  </w:num>
  <w:num w:numId="24" w16cid:durableId="1783064223">
    <w:abstractNumId w:val="13"/>
  </w:num>
  <w:num w:numId="25" w16cid:durableId="1945918628">
    <w:abstractNumId w:val="24"/>
  </w:num>
  <w:num w:numId="26" w16cid:durableId="253167053">
    <w:abstractNumId w:val="23"/>
  </w:num>
  <w:num w:numId="27" w16cid:durableId="1741979382">
    <w:abstractNumId w:val="8"/>
  </w:num>
  <w:num w:numId="28" w16cid:durableId="1282031422">
    <w:abstractNumId w:val="22"/>
  </w:num>
  <w:num w:numId="29" w16cid:durableId="309405003">
    <w:abstractNumId w:val="27"/>
  </w:num>
  <w:num w:numId="30" w16cid:durableId="771124424">
    <w:abstractNumId w:val="1"/>
  </w:num>
  <w:num w:numId="31" w16cid:durableId="89199201">
    <w:abstractNumId w:val="17"/>
  </w:num>
  <w:num w:numId="32" w16cid:durableId="694035878">
    <w:abstractNumId w:val="29"/>
  </w:num>
  <w:num w:numId="33" w16cid:durableId="949554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A9"/>
    <w:rsid w:val="00016488"/>
    <w:rsid w:val="0003314E"/>
    <w:rsid w:val="00071C66"/>
    <w:rsid w:val="00090912"/>
    <w:rsid w:val="000952C0"/>
    <w:rsid w:val="000A6120"/>
    <w:rsid w:val="000C06D4"/>
    <w:rsid w:val="00101F86"/>
    <w:rsid w:val="001109AD"/>
    <w:rsid w:val="00124450"/>
    <w:rsid w:val="001353AE"/>
    <w:rsid w:val="00136EF1"/>
    <w:rsid w:val="001478C8"/>
    <w:rsid w:val="00172C96"/>
    <w:rsid w:val="001950E8"/>
    <w:rsid w:val="001B43F7"/>
    <w:rsid w:val="001C2410"/>
    <w:rsid w:val="001C4D19"/>
    <w:rsid w:val="001E117F"/>
    <w:rsid w:val="001E6AE6"/>
    <w:rsid w:val="001E7F92"/>
    <w:rsid w:val="001F7B51"/>
    <w:rsid w:val="0021028E"/>
    <w:rsid w:val="00241711"/>
    <w:rsid w:val="0025195D"/>
    <w:rsid w:val="00285071"/>
    <w:rsid w:val="002920A2"/>
    <w:rsid w:val="002A1DE1"/>
    <w:rsid w:val="00316BB5"/>
    <w:rsid w:val="003277DD"/>
    <w:rsid w:val="00334F64"/>
    <w:rsid w:val="00391D4D"/>
    <w:rsid w:val="003D704A"/>
    <w:rsid w:val="003F42E8"/>
    <w:rsid w:val="00420438"/>
    <w:rsid w:val="00444F70"/>
    <w:rsid w:val="00446346"/>
    <w:rsid w:val="004574D9"/>
    <w:rsid w:val="00460C4D"/>
    <w:rsid w:val="00461E32"/>
    <w:rsid w:val="00470A9B"/>
    <w:rsid w:val="00475B4E"/>
    <w:rsid w:val="004801EC"/>
    <w:rsid w:val="0048605B"/>
    <w:rsid w:val="0049377B"/>
    <w:rsid w:val="004C1ED6"/>
    <w:rsid w:val="004E0542"/>
    <w:rsid w:val="00542449"/>
    <w:rsid w:val="00563D03"/>
    <w:rsid w:val="00570C0E"/>
    <w:rsid w:val="005A37A9"/>
    <w:rsid w:val="005A3F22"/>
    <w:rsid w:val="005E1D4B"/>
    <w:rsid w:val="005E220C"/>
    <w:rsid w:val="005F4903"/>
    <w:rsid w:val="00604CA2"/>
    <w:rsid w:val="006112CD"/>
    <w:rsid w:val="00631811"/>
    <w:rsid w:val="00644099"/>
    <w:rsid w:val="006535F5"/>
    <w:rsid w:val="006B13C4"/>
    <w:rsid w:val="006E6440"/>
    <w:rsid w:val="0070169D"/>
    <w:rsid w:val="007046D0"/>
    <w:rsid w:val="007052F2"/>
    <w:rsid w:val="00716719"/>
    <w:rsid w:val="00733144"/>
    <w:rsid w:val="00745DA2"/>
    <w:rsid w:val="0076602F"/>
    <w:rsid w:val="00766C59"/>
    <w:rsid w:val="00787DF8"/>
    <w:rsid w:val="007B0B18"/>
    <w:rsid w:val="007B472F"/>
    <w:rsid w:val="00822134"/>
    <w:rsid w:val="00830737"/>
    <w:rsid w:val="008512FA"/>
    <w:rsid w:val="008521E1"/>
    <w:rsid w:val="00865000"/>
    <w:rsid w:val="00894BDA"/>
    <w:rsid w:val="008D46A9"/>
    <w:rsid w:val="008E3A5C"/>
    <w:rsid w:val="00905642"/>
    <w:rsid w:val="00973F48"/>
    <w:rsid w:val="009A039B"/>
    <w:rsid w:val="009A7914"/>
    <w:rsid w:val="009D7016"/>
    <w:rsid w:val="009D73FE"/>
    <w:rsid w:val="009F65C5"/>
    <w:rsid w:val="00A01970"/>
    <w:rsid w:val="00A36E27"/>
    <w:rsid w:val="00A37F24"/>
    <w:rsid w:val="00A453C8"/>
    <w:rsid w:val="00A827AC"/>
    <w:rsid w:val="00AB3BA5"/>
    <w:rsid w:val="00AC7095"/>
    <w:rsid w:val="00AE4951"/>
    <w:rsid w:val="00AE4E9A"/>
    <w:rsid w:val="00AE659F"/>
    <w:rsid w:val="00AF0E90"/>
    <w:rsid w:val="00AF6DB3"/>
    <w:rsid w:val="00B04CA4"/>
    <w:rsid w:val="00B30A3A"/>
    <w:rsid w:val="00B342BA"/>
    <w:rsid w:val="00B5381D"/>
    <w:rsid w:val="00B64921"/>
    <w:rsid w:val="00B71872"/>
    <w:rsid w:val="00B7650F"/>
    <w:rsid w:val="00B86F86"/>
    <w:rsid w:val="00BA1286"/>
    <w:rsid w:val="00BA48F4"/>
    <w:rsid w:val="00BA5C1C"/>
    <w:rsid w:val="00BB312E"/>
    <w:rsid w:val="00BE33D6"/>
    <w:rsid w:val="00C322CC"/>
    <w:rsid w:val="00C45414"/>
    <w:rsid w:val="00C55B49"/>
    <w:rsid w:val="00C637CB"/>
    <w:rsid w:val="00C70812"/>
    <w:rsid w:val="00C75189"/>
    <w:rsid w:val="00C93284"/>
    <w:rsid w:val="00CB4094"/>
    <w:rsid w:val="00CE26F9"/>
    <w:rsid w:val="00D011AB"/>
    <w:rsid w:val="00D102F3"/>
    <w:rsid w:val="00D50A86"/>
    <w:rsid w:val="00D77EF1"/>
    <w:rsid w:val="00D82BCC"/>
    <w:rsid w:val="00D864F4"/>
    <w:rsid w:val="00DE6F0A"/>
    <w:rsid w:val="00DF60BA"/>
    <w:rsid w:val="00E17C3A"/>
    <w:rsid w:val="00E35337"/>
    <w:rsid w:val="00E401A3"/>
    <w:rsid w:val="00E52B1A"/>
    <w:rsid w:val="00E557DC"/>
    <w:rsid w:val="00E817DA"/>
    <w:rsid w:val="00E8198C"/>
    <w:rsid w:val="00EC7110"/>
    <w:rsid w:val="00EE413F"/>
    <w:rsid w:val="00EE4379"/>
    <w:rsid w:val="00EF5E34"/>
    <w:rsid w:val="00F22CD7"/>
    <w:rsid w:val="00F6269B"/>
    <w:rsid w:val="00F7393B"/>
    <w:rsid w:val="00F8168C"/>
    <w:rsid w:val="00F8308D"/>
    <w:rsid w:val="00FA1272"/>
    <w:rsid w:val="00FB720D"/>
    <w:rsid w:val="00FC5C13"/>
    <w:rsid w:val="00FD11BC"/>
    <w:rsid w:val="00FD7C43"/>
    <w:rsid w:val="00FF4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40632"/>
  <w15:docId w15:val="{77F77044-B24C-490B-B118-DB91AB96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5DA2"/>
    <w:pPr>
      <w:keepNext/>
      <w:keepLines/>
      <w:spacing w:before="240" w:after="0" w:line="259" w:lineRule="auto"/>
      <w:outlineLvl w:val="0"/>
    </w:pPr>
    <w:rPr>
      <w:rFonts w:ascii="Arial" w:eastAsiaTheme="majorEastAsia" w:hAnsi="Arial" w:cstheme="majorBidi"/>
      <w:kern w:val="2"/>
      <w:sz w:val="32"/>
      <w:szCs w:val="32"/>
      <w14:ligatures w14:val="standardContextual"/>
    </w:rPr>
  </w:style>
  <w:style w:type="paragraph" w:styleId="Heading2">
    <w:name w:val="heading 2"/>
    <w:basedOn w:val="Normal"/>
    <w:next w:val="Normal"/>
    <w:link w:val="Heading2Char"/>
    <w:autoRedefine/>
    <w:uiPriority w:val="9"/>
    <w:unhideWhenUsed/>
    <w:qFormat/>
    <w:rsid w:val="00745DA2"/>
    <w:pPr>
      <w:keepNext/>
      <w:keepLines/>
      <w:spacing w:before="40" w:after="0" w:line="259" w:lineRule="auto"/>
      <w:outlineLvl w:val="1"/>
    </w:pPr>
    <w:rPr>
      <w:rFonts w:ascii="Arial" w:eastAsiaTheme="majorEastAsia" w:hAnsi="Arial" w:cstheme="majorBidi"/>
      <w:b/>
      <w:bCs/>
      <w:kern w:val="2"/>
      <w:sz w:val="26"/>
      <w:szCs w:val="26"/>
      <w14:ligatures w14:val="standardContextual"/>
    </w:rPr>
  </w:style>
  <w:style w:type="paragraph" w:styleId="Heading3">
    <w:name w:val="heading 3"/>
    <w:basedOn w:val="Normal"/>
    <w:next w:val="Normal"/>
    <w:link w:val="Heading3Char"/>
    <w:autoRedefine/>
    <w:uiPriority w:val="9"/>
    <w:unhideWhenUsed/>
    <w:qFormat/>
    <w:rsid w:val="00745DA2"/>
    <w:pPr>
      <w:keepNext/>
      <w:keepLines/>
      <w:spacing w:before="40" w:after="0" w:line="259" w:lineRule="auto"/>
      <w:outlineLvl w:val="2"/>
    </w:pPr>
    <w:rPr>
      <w:rFonts w:ascii="Arial" w:eastAsiaTheme="majorEastAsia" w:hAnsi="Arial" w:cstheme="majorBidi"/>
      <w:b/>
      <w:bCs/>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4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6A9"/>
  </w:style>
  <w:style w:type="paragraph" w:styleId="Footer">
    <w:name w:val="footer"/>
    <w:basedOn w:val="Normal"/>
    <w:link w:val="FooterChar"/>
    <w:uiPriority w:val="99"/>
    <w:unhideWhenUsed/>
    <w:rsid w:val="008D4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6A9"/>
  </w:style>
  <w:style w:type="paragraph" w:styleId="ListParagraph">
    <w:name w:val="List Paragraph"/>
    <w:basedOn w:val="Normal"/>
    <w:link w:val="ListParagraphChar"/>
    <w:uiPriority w:val="34"/>
    <w:qFormat/>
    <w:rsid w:val="009D73FE"/>
    <w:pPr>
      <w:ind w:left="720"/>
      <w:contextualSpacing/>
    </w:pPr>
  </w:style>
  <w:style w:type="paragraph" w:styleId="BalloonText">
    <w:name w:val="Balloon Text"/>
    <w:basedOn w:val="Normal"/>
    <w:link w:val="BalloonTextChar"/>
    <w:uiPriority w:val="99"/>
    <w:semiHidden/>
    <w:unhideWhenUsed/>
    <w:rsid w:val="004C1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D6"/>
    <w:rPr>
      <w:rFonts w:ascii="Tahoma" w:hAnsi="Tahoma" w:cs="Tahoma"/>
      <w:sz w:val="16"/>
      <w:szCs w:val="16"/>
    </w:rPr>
  </w:style>
  <w:style w:type="character" w:styleId="PlaceholderText">
    <w:name w:val="Placeholder Text"/>
    <w:basedOn w:val="DefaultParagraphFont"/>
    <w:uiPriority w:val="99"/>
    <w:semiHidden/>
    <w:rsid w:val="00894BDA"/>
    <w:rPr>
      <w:color w:val="808080"/>
    </w:rPr>
  </w:style>
  <w:style w:type="character" w:customStyle="1" w:styleId="ListParagraphChar">
    <w:name w:val="List Paragraph Char"/>
    <w:basedOn w:val="DefaultParagraphFont"/>
    <w:link w:val="ListParagraph"/>
    <w:uiPriority w:val="34"/>
    <w:locked/>
    <w:rsid w:val="000952C0"/>
  </w:style>
  <w:style w:type="character" w:styleId="CommentReference">
    <w:name w:val="annotation reference"/>
    <w:basedOn w:val="DefaultParagraphFont"/>
    <w:uiPriority w:val="99"/>
    <w:semiHidden/>
    <w:unhideWhenUsed/>
    <w:rsid w:val="00E401A3"/>
    <w:rPr>
      <w:sz w:val="16"/>
      <w:szCs w:val="16"/>
    </w:rPr>
  </w:style>
  <w:style w:type="paragraph" w:styleId="CommentText">
    <w:name w:val="annotation text"/>
    <w:basedOn w:val="Normal"/>
    <w:link w:val="CommentTextChar"/>
    <w:uiPriority w:val="99"/>
    <w:unhideWhenUsed/>
    <w:rsid w:val="00E401A3"/>
    <w:pPr>
      <w:spacing w:line="240" w:lineRule="auto"/>
    </w:pPr>
    <w:rPr>
      <w:sz w:val="20"/>
      <w:szCs w:val="20"/>
    </w:rPr>
  </w:style>
  <w:style w:type="character" w:customStyle="1" w:styleId="CommentTextChar">
    <w:name w:val="Comment Text Char"/>
    <w:basedOn w:val="DefaultParagraphFont"/>
    <w:link w:val="CommentText"/>
    <w:uiPriority w:val="99"/>
    <w:rsid w:val="00E401A3"/>
    <w:rPr>
      <w:sz w:val="20"/>
      <w:szCs w:val="20"/>
    </w:rPr>
  </w:style>
  <w:style w:type="paragraph" w:styleId="CommentSubject">
    <w:name w:val="annotation subject"/>
    <w:basedOn w:val="CommentText"/>
    <w:next w:val="CommentText"/>
    <w:link w:val="CommentSubjectChar"/>
    <w:uiPriority w:val="99"/>
    <w:semiHidden/>
    <w:unhideWhenUsed/>
    <w:rsid w:val="00E401A3"/>
    <w:rPr>
      <w:b/>
      <w:bCs/>
    </w:rPr>
  </w:style>
  <w:style w:type="character" w:customStyle="1" w:styleId="CommentSubjectChar">
    <w:name w:val="Comment Subject Char"/>
    <w:basedOn w:val="CommentTextChar"/>
    <w:link w:val="CommentSubject"/>
    <w:uiPriority w:val="99"/>
    <w:semiHidden/>
    <w:rsid w:val="00E401A3"/>
    <w:rPr>
      <w:b/>
      <w:bCs/>
      <w:sz w:val="20"/>
      <w:szCs w:val="20"/>
    </w:rPr>
  </w:style>
  <w:style w:type="paragraph" w:styleId="Revision">
    <w:name w:val="Revision"/>
    <w:hidden/>
    <w:uiPriority w:val="99"/>
    <w:semiHidden/>
    <w:rsid w:val="0025195D"/>
    <w:pPr>
      <w:spacing w:after="0" w:line="240" w:lineRule="auto"/>
    </w:pPr>
  </w:style>
  <w:style w:type="character" w:customStyle="1" w:styleId="Heading1Char">
    <w:name w:val="Heading 1 Char"/>
    <w:basedOn w:val="DefaultParagraphFont"/>
    <w:link w:val="Heading1"/>
    <w:uiPriority w:val="9"/>
    <w:rsid w:val="00745DA2"/>
    <w:rPr>
      <w:rFonts w:ascii="Arial" w:eastAsiaTheme="majorEastAsia" w:hAnsi="Arial" w:cstheme="majorBidi"/>
      <w:kern w:val="2"/>
      <w:sz w:val="32"/>
      <w:szCs w:val="32"/>
      <w14:ligatures w14:val="standardContextual"/>
    </w:rPr>
  </w:style>
  <w:style w:type="character" w:customStyle="1" w:styleId="Heading2Char">
    <w:name w:val="Heading 2 Char"/>
    <w:basedOn w:val="DefaultParagraphFont"/>
    <w:link w:val="Heading2"/>
    <w:uiPriority w:val="9"/>
    <w:rsid w:val="00745DA2"/>
    <w:rPr>
      <w:rFonts w:ascii="Arial" w:eastAsiaTheme="majorEastAsia" w:hAnsi="Arial" w:cstheme="majorBidi"/>
      <w:b/>
      <w:bCs/>
      <w:kern w:val="2"/>
      <w:sz w:val="26"/>
      <w:szCs w:val="26"/>
      <w14:ligatures w14:val="standardContextual"/>
    </w:rPr>
  </w:style>
  <w:style w:type="character" w:customStyle="1" w:styleId="Heading3Char">
    <w:name w:val="Heading 3 Char"/>
    <w:basedOn w:val="DefaultParagraphFont"/>
    <w:link w:val="Heading3"/>
    <w:uiPriority w:val="9"/>
    <w:rsid w:val="00745DA2"/>
    <w:rPr>
      <w:rFonts w:ascii="Arial" w:eastAsiaTheme="majorEastAsia" w:hAnsi="Arial" w:cstheme="majorBidi"/>
      <w:b/>
      <w:bCs/>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9553">
      <w:bodyDiv w:val="1"/>
      <w:marLeft w:val="0"/>
      <w:marRight w:val="0"/>
      <w:marTop w:val="0"/>
      <w:marBottom w:val="0"/>
      <w:divBdr>
        <w:top w:val="none" w:sz="0" w:space="0" w:color="auto"/>
        <w:left w:val="none" w:sz="0" w:space="0" w:color="auto"/>
        <w:bottom w:val="none" w:sz="0" w:space="0" w:color="auto"/>
        <w:right w:val="none" w:sz="0" w:space="0" w:color="auto"/>
      </w:divBdr>
      <w:divsChild>
        <w:div w:id="1663389262">
          <w:marLeft w:val="547"/>
          <w:marRight w:val="0"/>
          <w:marTop w:val="200"/>
          <w:marBottom w:val="0"/>
          <w:divBdr>
            <w:top w:val="none" w:sz="0" w:space="0" w:color="auto"/>
            <w:left w:val="none" w:sz="0" w:space="0" w:color="auto"/>
            <w:bottom w:val="none" w:sz="0" w:space="0" w:color="auto"/>
            <w:right w:val="none" w:sz="0" w:space="0" w:color="auto"/>
          </w:divBdr>
        </w:div>
        <w:div w:id="430661032">
          <w:marLeft w:val="547"/>
          <w:marRight w:val="0"/>
          <w:marTop w:val="200"/>
          <w:marBottom w:val="0"/>
          <w:divBdr>
            <w:top w:val="none" w:sz="0" w:space="0" w:color="auto"/>
            <w:left w:val="none" w:sz="0" w:space="0" w:color="auto"/>
            <w:bottom w:val="none" w:sz="0" w:space="0" w:color="auto"/>
            <w:right w:val="none" w:sz="0" w:space="0" w:color="auto"/>
          </w:divBdr>
        </w:div>
      </w:divsChild>
    </w:div>
    <w:div w:id="1250578491">
      <w:bodyDiv w:val="1"/>
      <w:marLeft w:val="0"/>
      <w:marRight w:val="0"/>
      <w:marTop w:val="0"/>
      <w:marBottom w:val="0"/>
      <w:divBdr>
        <w:top w:val="none" w:sz="0" w:space="0" w:color="auto"/>
        <w:left w:val="none" w:sz="0" w:space="0" w:color="auto"/>
        <w:bottom w:val="none" w:sz="0" w:space="0" w:color="auto"/>
        <w:right w:val="none" w:sz="0" w:space="0" w:color="auto"/>
      </w:divBdr>
    </w:div>
    <w:div w:id="1281061886">
      <w:bodyDiv w:val="1"/>
      <w:marLeft w:val="0"/>
      <w:marRight w:val="0"/>
      <w:marTop w:val="0"/>
      <w:marBottom w:val="0"/>
      <w:divBdr>
        <w:top w:val="none" w:sz="0" w:space="0" w:color="auto"/>
        <w:left w:val="none" w:sz="0" w:space="0" w:color="auto"/>
        <w:bottom w:val="none" w:sz="0" w:space="0" w:color="auto"/>
        <w:right w:val="none" w:sz="0" w:space="0" w:color="auto"/>
      </w:divBdr>
    </w:div>
    <w:div w:id="182296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Norfolk &amp; Norwich University NHS Foundation Trust</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vr2</dc:creator>
  <cp:lastModifiedBy>Arcari, Lois (NNUHFT)</cp:lastModifiedBy>
  <cp:revision>4</cp:revision>
  <cp:lastPrinted>2022-04-07T12:34:00Z</cp:lastPrinted>
  <dcterms:created xsi:type="dcterms:W3CDTF">2024-09-27T14:50:00Z</dcterms:created>
  <dcterms:modified xsi:type="dcterms:W3CDTF">2024-10-28T14:04:00Z</dcterms:modified>
</cp:coreProperties>
</file>